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rsidR="000E4C08" w:rsidRDefault="00C173F9" w:rsidP="00CA5EA6">
          <w:pPr>
            <w:pStyle w:val="CE-MEGA"/>
            <w:spacing w:line="240" w:lineRule="auto"/>
          </w:pPr>
          <w:r>
            <w:t>template</w:t>
          </w:r>
        </w:p>
        <w:p w:rsidR="000E4C08" w:rsidRPr="00CA5EA6" w:rsidRDefault="003D7F45" w:rsidP="00CA5EA6">
          <w:pPr>
            <w:pStyle w:val="CE-Head2"/>
            <w:rPr>
              <w:sz w:val="36"/>
              <w:lang w:val="en-GB"/>
            </w:rPr>
          </w:pPr>
          <w:r>
            <w:rPr>
              <w:lang w:val="hu-HU" w:eastAsia="hu-HU"/>
            </w:rPr>
            <mc:AlternateContent>
              <mc:Choice Requires="wps">
                <w:drawing>
                  <wp:anchor distT="0" distB="0" distL="114300" distR="114300" simplePos="0" relativeHeight="251661312" behindDoc="0" locked="0" layoutInCell="1" allowOverlap="1" wp14:anchorId="1DCBEA3F" wp14:editId="32E63E7E">
                    <wp:simplePos x="0" y="0"/>
                    <wp:positionH relativeFrom="column">
                      <wp:posOffset>4934585</wp:posOffset>
                    </wp:positionH>
                    <wp:positionV relativeFrom="paragraph">
                      <wp:posOffset>19685</wp:posOffset>
                    </wp:positionV>
                    <wp:extent cx="1323975" cy="409575"/>
                    <wp:effectExtent l="0" t="0" r="0" b="0"/>
                    <wp:wrapNone/>
                    <wp:docPr id="6" name="Textfeld 6"/>
                    <wp:cNvGraphicFramePr/>
                    <a:graphic xmlns:a="http://schemas.openxmlformats.org/drawingml/2006/main">
                      <a:graphicData uri="http://schemas.microsoft.com/office/word/2010/wordprocessingShape">
                        <wps:wsp>
                          <wps:cNvSpPr txBox="1"/>
                          <wps:spPr bwMode="auto">
                            <a:xfrm>
                              <a:off x="0" y="0"/>
                              <a:ext cx="1323975" cy="409575"/>
                            </a:xfrm>
                            <a:prstGeom prst="rect">
                              <a:avLst/>
                            </a:prstGeom>
                            <a:noFill/>
                            <a:ln w="6350">
                              <a:noFill/>
                            </a:ln>
                          </wps:spPr>
                          <wps:txbx>
                            <w:txbxContent>
                              <w:p w:rsidR="000E4C08" w:rsidRPr="003D7F45" w:rsidRDefault="000E4C08" w:rsidP="001A6A77">
                                <w:pPr>
                                  <w:pStyle w:val="CE-Head2"/>
                                  <w:jc w:val="right"/>
                                  <w:rPr>
                                    <w:sz w:val="32"/>
                                    <w:szCs w:val="32"/>
                                  </w:rPr>
                                </w:pPr>
                                <w:r w:rsidRPr="003D7F45">
                                  <w:rPr>
                                    <w:sz w:val="32"/>
                                    <w:szCs w:val="32"/>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BEA3F" id="_x0000_t202" coordsize="21600,21600" o:spt="202" path="m,l,21600r21600,l21600,xe">
                    <v:stroke joinstyle="miter"/>
                    <v:path gradientshapeok="t" o:connecttype="rect"/>
                  </v:shapetype>
                  <v:shape id="Textfeld 6" o:spid="_x0000_s1026" type="#_x0000_t202" style="position:absolute;left:0;text-align:left;margin-left:388.55pt;margin-top:1.55pt;width:104.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" filled="f" stroked="f" strokeweight=".5pt">
                    <v:textbox>
                      <w:txbxContent>
                        <w:p w:rsidR="000E4C08" w:rsidRPr="003D7F45" w:rsidRDefault="000E4C08" w:rsidP="001A6A77">
                          <w:pPr>
                            <w:pStyle w:val="CE-Head2"/>
                            <w:jc w:val="right"/>
                            <w:rPr>
                              <w:sz w:val="32"/>
                              <w:szCs w:val="32"/>
                            </w:rPr>
                          </w:pPr>
                          <w:r w:rsidRPr="003D7F45">
                            <w:rPr>
                              <w:sz w:val="32"/>
                              <w:szCs w:val="32"/>
                            </w:rPr>
                            <w:t>Version 1</w:t>
                          </w:r>
                        </w:p>
                      </w:txbxContent>
                    </v:textbox>
                  </v:shape>
                </w:pict>
              </mc:Fallback>
            </mc:AlternateContent>
          </w:r>
          <w:r w:rsidR="00C173F9">
            <w:rPr>
              <w:sz w:val="36"/>
              <w:lang w:val="en-GB"/>
            </w:rPr>
            <w:t>Output fact</w:t>
          </w:r>
          <w:r w:rsidR="00C173F9" w:rsidRPr="00C551C0">
            <w:rPr>
              <w:sz w:val="36"/>
              <w:lang w:val="en-GB"/>
            </w:rPr>
            <w:t>sheet</w:t>
          </w:r>
          <w:r w:rsidR="00C173F9">
            <w:rPr>
              <w:sz w:val="36"/>
              <w:lang w:val="en-GB"/>
            </w:rPr>
            <w:t>:</w:t>
          </w:r>
          <w:r w:rsidR="00CA5EA6">
            <w:rPr>
              <w:lang w:val="hu-HU" w:eastAsia="hu-HU"/>
            </w:rPr>
            <mc:AlternateContent>
              <mc:Choice Requires="wps">
                <w:drawing>
                  <wp:anchor distT="0" distB="0" distL="114300" distR="114300" simplePos="0" relativeHeight="251660288" behindDoc="0" locked="0" layoutInCell="1" allowOverlap="1" wp14:anchorId="7174B270" wp14:editId="24EE6AF3">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DE8DE8"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w:rPr>
              <w:lang w:val="hu-HU" w:eastAsia="hu-HU"/>
            </w:rPr>
            <mc:AlternateContent>
              <mc:Choice Requires="wps">
                <w:drawing>
                  <wp:anchor distT="0" distB="0" distL="114300" distR="114300" simplePos="0" relativeHeight="251659264" behindDoc="0" locked="0" layoutInCell="1" allowOverlap="1" wp14:anchorId="4BB7F3B4" wp14:editId="6B0D1F3F">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5BEB0C"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sidR="00C173F9">
            <w:rPr>
              <w:sz w:val="36"/>
              <w:lang w:val="en-GB"/>
            </w:rPr>
            <w:t xml:space="preserve"> </w:t>
          </w:r>
          <w:r w:rsidR="00212FBB">
            <w:rPr>
              <w:sz w:val="36"/>
              <w:lang w:val="en-GB"/>
            </w:rPr>
            <w:t>Pilot actions</w:t>
          </w:r>
        </w:p>
        <w:p w:rsidR="00156013" w:rsidRPr="00156013" w:rsidRDefault="00AD2AF7"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EE2947" w:rsidTr="00C173F9">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Head"/>
              <w:spacing w:line="276" w:lineRule="auto"/>
              <w:ind w:right="0"/>
              <w:jc w:val="left"/>
              <w:rPr>
                <w:sz w:val="22"/>
                <w:szCs w:val="22"/>
                <w:lang w:val="en-GB"/>
              </w:rPr>
            </w:pPr>
            <w:r w:rsidRPr="00C173F9">
              <w:rPr>
                <w:sz w:val="22"/>
                <w:szCs w:val="22"/>
                <w:lang w:val="en-GB"/>
              </w:rPr>
              <w:t>Project index number and acronym</w:t>
            </w:r>
          </w:p>
        </w:tc>
        <w:tc>
          <w:tcPr>
            <w:tcW w:w="5529" w:type="dxa"/>
          </w:tcPr>
          <w:p w:rsidR="00156013" w:rsidRPr="00805D51" w:rsidRDefault="000C23CF" w:rsidP="00BF2027">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pPr>
            <w:r>
              <w:t>CE</w:t>
            </w:r>
            <w:r w:rsidR="007A74F3">
              <w:t>111 Focus</w:t>
            </w:r>
            <w:r>
              <w:t xml:space="preserve"> in CD</w:t>
            </w:r>
          </w:p>
        </w:tc>
      </w:tr>
      <w:tr w:rsidR="00156013" w:rsidRPr="00156013" w:rsidTr="00C173F9">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StandardWhite"/>
              <w:spacing w:line="276" w:lineRule="auto"/>
              <w:rPr>
                <w:sz w:val="22"/>
                <w:szCs w:val="22"/>
              </w:rPr>
            </w:pPr>
            <w:r w:rsidRPr="00C173F9">
              <w:rPr>
                <w:rFonts w:eastAsiaTheme="minorHAnsi" w:cstheme="minorBidi"/>
                <w:b/>
                <w:bCs/>
                <w:iCs/>
                <w:noProof/>
                <w:sz w:val="22"/>
                <w:szCs w:val="22"/>
                <w:lang w:val="en-GB" w:eastAsia="de-AT"/>
              </w:rPr>
              <w:t>Lead partner</w:t>
            </w:r>
          </w:p>
        </w:tc>
        <w:tc>
          <w:tcPr>
            <w:tcW w:w="5529" w:type="dxa"/>
          </w:tcPr>
          <w:p w:rsidR="00156013" w:rsidRPr="00805D51" w:rsidRDefault="000C23CF"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Maribor</w:t>
            </w:r>
          </w:p>
        </w:tc>
      </w:tr>
      <w:tr w:rsidR="00156013" w:rsidRPr="00253147" w:rsidTr="00C1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Head"/>
              <w:spacing w:line="276" w:lineRule="auto"/>
              <w:ind w:right="0"/>
              <w:jc w:val="left"/>
              <w:rPr>
                <w:sz w:val="22"/>
                <w:szCs w:val="22"/>
                <w:lang w:val="en-GB"/>
              </w:rPr>
            </w:pPr>
            <w:r w:rsidRPr="00C173F9">
              <w:rPr>
                <w:sz w:val="22"/>
                <w:szCs w:val="22"/>
                <w:lang w:val="en-GB"/>
              </w:rPr>
              <w:t>Output number and title</w:t>
            </w:r>
          </w:p>
        </w:tc>
        <w:tc>
          <w:tcPr>
            <w:tcW w:w="5529" w:type="dxa"/>
          </w:tcPr>
          <w:p w:rsidR="00BB71BE" w:rsidRDefault="00BB71BE" w:rsidP="00BB71BE">
            <w:pPr>
              <w:autoSpaceDE w:val="0"/>
              <w:autoSpaceDN w:val="0"/>
              <w:adjustRightInd w:val="0"/>
              <w:spacing w:before="0" w:line="240" w:lineRule="auto"/>
              <w:ind w:left="0" w:right="0"/>
              <w:jc w:val="left"/>
              <w:cnfStyle w:val="000000100000" w:firstRow="0" w:lastRow="0" w:firstColumn="0" w:lastColumn="0" w:oddVBand="0" w:evenVBand="0" w:oddHBand="1" w:evenHBand="0" w:firstRowFirstColumn="0" w:firstRowLastColumn="0" w:lastRowFirstColumn="0" w:lastRowLastColumn="0"/>
              <w:rPr>
                <w:rFonts w:ascii="OpenSans" w:hAnsi="OpenSans" w:cs="OpenSans"/>
                <w:sz w:val="17"/>
                <w:szCs w:val="17"/>
                <w:lang w:val="hu-HU"/>
              </w:rPr>
            </w:pPr>
            <w:r>
              <w:rPr>
                <w:rFonts w:ascii="OpenSans" w:hAnsi="OpenSans" w:cs="OpenSans"/>
                <w:sz w:val="17"/>
                <w:szCs w:val="17"/>
                <w:lang w:val="hu-HU"/>
              </w:rPr>
              <w:t xml:space="preserve">Output O.T3.1.1 Development and implementation of </w:t>
            </w:r>
          </w:p>
          <w:p w:rsidR="00BB71BE" w:rsidRDefault="00BB71BE" w:rsidP="00BB71BE">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rFonts w:ascii="OpenSans" w:hAnsi="OpenSans" w:cs="OpenSans"/>
                <w:sz w:val="17"/>
                <w:szCs w:val="17"/>
                <w:lang w:val="hu-HU"/>
              </w:rPr>
            </w:pPr>
            <w:r>
              <w:rPr>
                <w:rFonts w:ascii="OpenSans" w:hAnsi="OpenSans" w:cs="OpenSans"/>
                <w:sz w:val="17"/>
                <w:szCs w:val="17"/>
                <w:lang w:val="hu-HU"/>
              </w:rPr>
              <w:t>10 pilot projects</w:t>
            </w:r>
          </w:p>
          <w:p w:rsidR="00156013" w:rsidRPr="00156013" w:rsidRDefault="000C23CF" w:rsidP="00BF2027">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4"/>
              </w:rPr>
            </w:pPr>
            <w:r>
              <w:rPr>
                <w:sz w:val="24"/>
              </w:rPr>
              <w:t>Evaluation and follow up of family members</w:t>
            </w:r>
          </w:p>
        </w:tc>
      </w:tr>
      <w:tr w:rsidR="00156013" w:rsidRPr="00EE2947" w:rsidTr="00C173F9">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StandardWhite"/>
              <w:spacing w:line="276" w:lineRule="auto"/>
              <w:rPr>
                <w:sz w:val="22"/>
                <w:szCs w:val="22"/>
              </w:rPr>
            </w:pPr>
            <w:r w:rsidRPr="00C173F9">
              <w:rPr>
                <w:rFonts w:eastAsiaTheme="minorHAnsi" w:cstheme="minorBidi"/>
                <w:b/>
                <w:bCs/>
                <w:iCs/>
                <w:noProof/>
                <w:sz w:val="22"/>
                <w:szCs w:val="22"/>
                <w:lang w:val="en-GB" w:eastAsia="de-AT"/>
              </w:rPr>
              <w:t>Responsible partner (PP name and number)</w:t>
            </w:r>
          </w:p>
        </w:tc>
        <w:tc>
          <w:tcPr>
            <w:tcW w:w="5529" w:type="dxa"/>
          </w:tcPr>
          <w:p w:rsidR="00156013" w:rsidRPr="00805D51" w:rsidRDefault="00BB71BE"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 xml:space="preserve">Heim </w:t>
            </w:r>
            <w:proofErr w:type="spellStart"/>
            <w:r>
              <w:t>Pál</w:t>
            </w:r>
            <w:proofErr w:type="spellEnd"/>
            <w:r>
              <w:t xml:space="preserve"> National </w:t>
            </w:r>
            <w:proofErr w:type="spellStart"/>
            <w:r>
              <w:t>Paediatric</w:t>
            </w:r>
            <w:proofErr w:type="spellEnd"/>
            <w:r>
              <w:t xml:space="preserve"> Institute - </w:t>
            </w:r>
            <w:r w:rsidR="000C23CF">
              <w:t>PP10</w:t>
            </w:r>
          </w:p>
        </w:tc>
      </w:tr>
      <w:tr w:rsidR="00F102B2" w:rsidRPr="00F102B2" w:rsidTr="00C17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F102B2" w:rsidRPr="00C173F9" w:rsidRDefault="00F102B2" w:rsidP="00BF2027">
            <w:pPr>
              <w:pStyle w:val="CE-TableStandardWhite"/>
              <w:spacing w:line="276" w:lineRule="auto"/>
              <w:rPr>
                <w:rFonts w:eastAsiaTheme="minorHAnsi" w:cstheme="minorBidi"/>
                <w:iCs/>
                <w:noProof/>
                <w:sz w:val="22"/>
                <w:szCs w:val="22"/>
                <w:lang w:val="en-GB" w:eastAsia="de-AT"/>
              </w:rPr>
            </w:pPr>
            <w:r w:rsidRPr="00C173F9">
              <w:rPr>
                <w:rFonts w:eastAsiaTheme="minorHAnsi" w:cstheme="minorBidi"/>
                <w:b/>
                <w:bCs/>
                <w:iCs/>
                <w:noProof/>
                <w:sz w:val="22"/>
                <w:szCs w:val="22"/>
                <w:lang w:val="en-GB" w:eastAsia="de-AT"/>
              </w:rPr>
              <w:t>Project website</w:t>
            </w:r>
          </w:p>
        </w:tc>
        <w:tc>
          <w:tcPr>
            <w:tcW w:w="5529" w:type="dxa"/>
          </w:tcPr>
          <w:p w:rsidR="00F102B2" w:rsidRPr="00805D51" w:rsidRDefault="00F102B2" w:rsidP="00BF2027">
            <w:pPr>
              <w:pStyle w:val="CE-TableStandard"/>
              <w:spacing w:line="276" w:lineRule="auto"/>
              <w:cnfStyle w:val="000000100000" w:firstRow="0" w:lastRow="0" w:firstColumn="0" w:lastColumn="0" w:oddVBand="0" w:evenVBand="0" w:oddHBand="1" w:evenHBand="0" w:firstRowFirstColumn="0" w:firstRowLastColumn="0" w:lastRowFirstColumn="0" w:lastRowLastColumn="0"/>
            </w:pPr>
          </w:p>
        </w:tc>
      </w:tr>
      <w:tr w:rsidR="00156013" w:rsidRPr="00156013" w:rsidTr="00C173F9">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C173F9" w:rsidRDefault="00156013" w:rsidP="00BF2027">
            <w:pPr>
              <w:pStyle w:val="CE-TableStandardWhite"/>
              <w:spacing w:line="276" w:lineRule="auto"/>
              <w:rPr>
                <w:rFonts w:eastAsiaTheme="minorHAnsi" w:cstheme="minorBidi"/>
                <w:b/>
                <w:bCs/>
                <w:iCs/>
                <w:noProof/>
                <w:sz w:val="22"/>
                <w:szCs w:val="22"/>
                <w:lang w:val="en-GB" w:eastAsia="de-AT"/>
              </w:rPr>
            </w:pPr>
            <w:r w:rsidRPr="00C173F9">
              <w:rPr>
                <w:rFonts w:eastAsiaTheme="minorHAnsi" w:cstheme="minorBidi"/>
                <w:b/>
                <w:bCs/>
                <w:iCs/>
                <w:noProof/>
                <w:sz w:val="22"/>
                <w:szCs w:val="22"/>
                <w:lang w:val="en-GB" w:eastAsia="de-AT"/>
              </w:rPr>
              <w:t>Delivery date</w:t>
            </w:r>
          </w:p>
        </w:tc>
        <w:tc>
          <w:tcPr>
            <w:tcW w:w="5529" w:type="dxa"/>
          </w:tcPr>
          <w:p w:rsidR="00156013" w:rsidRPr="00805D51" w:rsidRDefault="000C23CF" w:rsidP="00BF2027">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24.0.5 2019</w:t>
            </w:r>
          </w:p>
        </w:tc>
      </w:tr>
    </w:tbl>
    <w:p w:rsidR="00156013" w:rsidRPr="00EA5FC7" w:rsidRDefault="00156013" w:rsidP="00BF2027">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498"/>
      </w:tblGrid>
      <w:tr w:rsidR="007B6FAA" w:rsidRPr="00253147" w:rsidTr="00C173F9">
        <w:trPr>
          <w:cnfStyle w:val="100000000000" w:firstRow="1" w:lastRow="0" w:firstColumn="0" w:lastColumn="0" w:oddVBand="0" w:evenVBand="0" w:oddHBand="0" w:evenHBand="0" w:firstRowFirstColumn="0" w:firstRowLastColumn="0" w:lastRowFirstColumn="0" w:lastRowLastColumn="0"/>
          <w:cantSplit/>
          <w:trHeight w:val="315"/>
        </w:trPr>
        <w:tc>
          <w:tcPr>
            <w:tcW w:w="9498" w:type="dxa"/>
            <w:shd w:val="clear" w:color="auto" w:fill="63858D" w:themeFill="accent2" w:themeFillShade="BF"/>
            <w:tcMar>
              <w:top w:w="170" w:type="dxa"/>
              <w:bottom w:w="113" w:type="dxa"/>
            </w:tcMar>
          </w:tcPr>
          <w:p w:rsidR="007B6FAA"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007B6FAA" w:rsidRPr="007B6FAA">
              <w:rPr>
                <w:rFonts w:eastAsiaTheme="minorHAnsi" w:cstheme="minorBidi"/>
                <w:iCs/>
                <w:noProof/>
                <w:color w:val="FFFFFF" w:themeColor="background1"/>
                <w:sz w:val="22"/>
                <w:szCs w:val="24"/>
                <w:lang w:val="en-GB" w:eastAsia="de-AT"/>
              </w:rPr>
              <w:t xml:space="preserve"> description of the </w:t>
            </w:r>
            <w:r w:rsidR="00C57D52">
              <w:rPr>
                <w:rFonts w:eastAsiaTheme="minorHAnsi" w:cstheme="minorBidi"/>
                <w:iCs/>
                <w:noProof/>
                <w:color w:val="FFFFFF" w:themeColor="background1"/>
                <w:sz w:val="22"/>
                <w:szCs w:val="24"/>
                <w:lang w:val="en-GB" w:eastAsia="de-AT"/>
              </w:rPr>
              <w:t xml:space="preserve">pilot action </w:t>
            </w:r>
            <w:r w:rsidR="00094F0C">
              <w:rPr>
                <w:rFonts w:eastAsiaTheme="minorHAnsi" w:cstheme="minorBidi"/>
                <w:iCs/>
                <w:noProof/>
                <w:color w:val="FFFFFF" w:themeColor="background1"/>
                <w:sz w:val="22"/>
                <w:szCs w:val="24"/>
                <w:lang w:val="en-GB" w:eastAsia="de-AT"/>
              </w:rPr>
              <w:t xml:space="preserve">explaining </w:t>
            </w:r>
            <w:r w:rsidR="00C57D52">
              <w:rPr>
                <w:rFonts w:eastAsiaTheme="minorHAnsi" w:cstheme="minorBidi"/>
                <w:iCs/>
                <w:noProof/>
                <w:color w:val="FFFFFF" w:themeColor="background1"/>
                <w:sz w:val="22"/>
                <w:szCs w:val="24"/>
                <w:lang w:val="en-GB" w:eastAsia="de-AT"/>
              </w:rPr>
              <w:t xml:space="preserve">its </w:t>
            </w:r>
            <w:r w:rsidR="00094F0C">
              <w:rPr>
                <w:rFonts w:eastAsiaTheme="minorHAnsi" w:cstheme="minorBidi"/>
                <w:iCs/>
                <w:noProof/>
                <w:color w:val="FFFFFF" w:themeColor="background1"/>
                <w:sz w:val="22"/>
                <w:szCs w:val="24"/>
                <w:lang w:val="en-GB" w:eastAsia="de-AT"/>
              </w:rPr>
              <w:t xml:space="preserve">experimental nature and </w:t>
            </w:r>
            <w:r w:rsidR="00C57D52">
              <w:rPr>
                <w:rFonts w:eastAsiaTheme="minorHAnsi" w:cstheme="minorBidi"/>
                <w:iCs/>
                <w:noProof/>
                <w:color w:val="FFFFFF" w:themeColor="background1"/>
                <w:sz w:val="22"/>
                <w:szCs w:val="24"/>
                <w:lang w:val="en-GB" w:eastAsia="de-AT"/>
              </w:rPr>
              <w:t>demonstration character</w:t>
            </w:r>
            <w:r w:rsidR="00EA5FC7">
              <w:rPr>
                <w:rFonts w:eastAsiaTheme="minorHAnsi" w:cstheme="minorBidi"/>
                <w:iCs/>
                <w:noProof/>
                <w:color w:val="FFFFFF" w:themeColor="background1"/>
                <w:sz w:val="22"/>
                <w:szCs w:val="24"/>
                <w:lang w:val="en-GB" w:eastAsia="de-AT"/>
              </w:rPr>
              <w:t xml:space="preserve"> </w:t>
            </w:r>
          </w:p>
        </w:tc>
      </w:tr>
      <w:tr w:rsidR="007B6FAA" w:rsidRPr="00253147" w:rsidTr="00094F0C">
        <w:trPr>
          <w:cnfStyle w:val="000000100000" w:firstRow="0" w:lastRow="0" w:firstColumn="0" w:lastColumn="0" w:oddVBand="0" w:evenVBand="0" w:oddHBand="1" w:evenHBand="0" w:firstRowFirstColumn="0" w:firstRowLastColumn="0" w:lastRowFirstColumn="0" w:lastRowLastColumn="0"/>
          <w:cantSplit/>
          <w:trHeight w:val="3953"/>
        </w:trPr>
        <w:tc>
          <w:tcPr>
            <w:tcW w:w="9498" w:type="dxa"/>
            <w:shd w:val="clear" w:color="auto" w:fill="E4E7E7" w:themeFill="accent1" w:themeFillTint="33"/>
            <w:tcMar>
              <w:top w:w="170" w:type="dxa"/>
              <w:bottom w:w="113" w:type="dxa"/>
            </w:tcMar>
          </w:tcPr>
          <w:p w:rsidR="00CA5EA6" w:rsidRPr="00805D51" w:rsidRDefault="00BB71BE" w:rsidP="00716AED">
            <w:pPr>
              <w:pStyle w:val="CE-TableStandard"/>
              <w:spacing w:line="276" w:lineRule="auto"/>
            </w:pPr>
            <w:r>
              <w:t xml:space="preserve">PP10’s </w:t>
            </w:r>
            <w:r w:rsidR="000C23CF">
              <w:t>pilot action targets furthe</w:t>
            </w:r>
            <w:r w:rsidR="00105D08">
              <w:t>r</w:t>
            </w:r>
            <w:r w:rsidR="000C23CF">
              <w:t xml:space="preserve"> undiagnosed groups of patients with subtle or subclinical manifestations </w:t>
            </w:r>
            <w:r>
              <w:t xml:space="preserve">in addition to </w:t>
            </w:r>
            <w:r w:rsidR="000C23CF">
              <w:t xml:space="preserve">diagnosing CD patients with clinical symptoms </w:t>
            </w:r>
            <w:r w:rsidR="00105D08">
              <w:t>who</w:t>
            </w:r>
            <w:r>
              <w:t xml:space="preserve"> spontaneously</w:t>
            </w:r>
            <w:r w:rsidR="00105D08">
              <w:t xml:space="preserve"> </w:t>
            </w:r>
            <w:r w:rsidR="000C23CF">
              <w:t xml:space="preserve">visit health care facilities. Since CD has a genetic background, first degree family members </w:t>
            </w:r>
            <w:r w:rsidR="00105D08">
              <w:t xml:space="preserve">have elevated risk, but </w:t>
            </w:r>
            <w:r w:rsidR="0098679F">
              <w:t xml:space="preserve">they </w:t>
            </w:r>
            <w:r w:rsidR="00105D08">
              <w:t>often do not seek medical advice, or children</w:t>
            </w:r>
            <w:r>
              <w:t xml:space="preserve"> are not tested by gastroenterologists</w:t>
            </w:r>
            <w:r w:rsidR="00105D08">
              <w:t xml:space="preserve"> if an adult patient is diagnosed or vice versa. In this pilot action, we established an open-access</w:t>
            </w:r>
            <w:r w:rsidR="00EA5FC7" w:rsidRPr="00CA5EA6">
              <w:t xml:space="preserve"> </w:t>
            </w:r>
            <w:r w:rsidR="0098679F">
              <w:t xml:space="preserve">family </w:t>
            </w:r>
            <w:r w:rsidR="00105D08">
              <w:t xml:space="preserve">evaluation regardless of age limits. The only criterion for enrolment was an already ongoing gluten consumption </w:t>
            </w:r>
            <w:r>
              <w:t xml:space="preserve">in case of </w:t>
            </w:r>
            <w:r w:rsidR="00105D08">
              <w:t xml:space="preserve">testing </w:t>
            </w:r>
            <w:r>
              <w:t xml:space="preserve">serology markers (transglutaminase and </w:t>
            </w:r>
            <w:proofErr w:type="spellStart"/>
            <w:r>
              <w:t>endomysial</w:t>
            </w:r>
            <w:proofErr w:type="spellEnd"/>
            <w:r>
              <w:t xml:space="preserve"> antibodies) </w:t>
            </w:r>
            <w:r w:rsidR="00105D08">
              <w:t>in young children</w:t>
            </w:r>
            <w:r>
              <w:t>, but even w</w:t>
            </w:r>
            <w:r w:rsidR="0098679F">
              <w:t>i</w:t>
            </w:r>
            <w:r>
              <w:t>t</w:t>
            </w:r>
            <w:r w:rsidR="0098679F">
              <w:t>h</w:t>
            </w:r>
            <w:r>
              <w:t>out that even n</w:t>
            </w:r>
            <w:r w:rsidR="0098679F">
              <w:t>e</w:t>
            </w:r>
            <w:r>
              <w:t>wborns were evaluated for the presence HLA-DQ2 and HLA-DQ8 gene</w:t>
            </w:r>
            <w:r w:rsidR="0098679F">
              <w:t xml:space="preserve">tic allele variants </w:t>
            </w:r>
            <w:r>
              <w:t>which confer susceptibility</w:t>
            </w:r>
            <w:r w:rsidR="0098679F">
              <w:t xml:space="preserve"> for developing CD</w:t>
            </w:r>
            <w:r w:rsidR="00105D08">
              <w:t xml:space="preserve">. Workshops were </w:t>
            </w:r>
            <w:r w:rsidR="007A74F3">
              <w:t>organized</w:t>
            </w:r>
            <w:r w:rsidR="00105D08">
              <w:t xml:space="preserve"> for stakeholders (eight in total) where the index patient and his/her family w</w:t>
            </w:r>
            <w:r w:rsidR="0098679F">
              <w:t>ere</w:t>
            </w:r>
            <w:r w:rsidR="00105D08">
              <w:t xml:space="preserve"> informed </w:t>
            </w:r>
            <w:r>
              <w:t>about risks, possible clinical signs and the screening procedure. If consent was given, venous blood (or cord blood) was collected and processed.</w:t>
            </w:r>
            <w:r w:rsidR="0098679F">
              <w:t xml:space="preserve"> Serum antibodies against transglutaminase 2 (TG2) were measured by a capture ELISA using human red blood cell TG2. </w:t>
            </w:r>
            <w:proofErr w:type="spellStart"/>
            <w:r w:rsidR="0098679F">
              <w:t>Endomysial</w:t>
            </w:r>
            <w:proofErr w:type="spellEnd"/>
            <w:r w:rsidR="0098679F">
              <w:t xml:space="preserve"> antibodies were detected and titrated by indirect immunofluorescent method using human umbilical cord and appendix substrates. Genomic DNA was extracted from EDTA-treated venous blood samples </w:t>
            </w:r>
            <w:r w:rsidR="00EF6EE4">
              <w:t xml:space="preserve">by the </w:t>
            </w:r>
            <w:proofErr w:type="spellStart"/>
            <w:r w:rsidR="00EF6EE4">
              <w:t>Flexigene</w:t>
            </w:r>
            <w:proofErr w:type="spellEnd"/>
            <w:r w:rsidR="00EF6EE4">
              <w:t xml:space="preserve"> (Qiagen) kit. HLA-DQ risk alleles were detected by SNP-based </w:t>
            </w:r>
            <w:proofErr w:type="spellStart"/>
            <w:r w:rsidR="00EF6EE4">
              <w:t>Taqman</w:t>
            </w:r>
            <w:proofErr w:type="spellEnd"/>
            <w:r w:rsidR="00EF6EE4">
              <w:t xml:space="preserve"> probes using PCR amplification. A simple fluorescent method was developed and </w:t>
            </w:r>
            <w:r w:rsidR="007A74F3">
              <w:t>optimized</w:t>
            </w:r>
            <w:r w:rsidR="00EF6EE4">
              <w:t xml:space="preserve"> during WP1 (diagnostic evaluation of new diagnoses) that could be read by fluorescent ELISA already available in the hospital. This worked well for the alleles DQ2.5 and DQ8. However, allele DQ2.2 needs 3 reactions and </w:t>
            </w:r>
            <w:r w:rsidR="00716AED">
              <w:t xml:space="preserve">amplification </w:t>
            </w:r>
            <w:proofErr w:type="gramStart"/>
            <w:r w:rsidR="00716AED">
              <w:t>is</w:t>
            </w:r>
            <w:proofErr w:type="gramEnd"/>
            <w:r w:rsidR="00716AED">
              <w:t xml:space="preserve"> more difficult to detect. Therefore, for larger scale testing, a </w:t>
            </w:r>
            <w:proofErr w:type="spellStart"/>
            <w:r w:rsidR="00716AED">
              <w:t>LightCycler</w:t>
            </w:r>
            <w:proofErr w:type="spellEnd"/>
            <w:r w:rsidR="00716AED">
              <w:t xml:space="preserve"> automated real-time PCR machine was needed (rented). The organized workshops had 366 participants. During the pilot project 1486 newly enrolled family members were tested and 235 positives found (15.8%). In most cases the diagnosis of CD was confirmed by small bowel biopsy.</w:t>
            </w:r>
          </w:p>
        </w:tc>
      </w:tr>
    </w:tbl>
    <w:p w:rsidR="007B6FAA" w:rsidRDefault="007B6FAA"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F102B2" w:rsidRPr="00253147"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F102B2" w:rsidRPr="007B6FAA" w:rsidRDefault="00F102B2"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lastRenderedPageBreak/>
              <w:t xml:space="preserve">NUTS region(s) concerned by the </w:t>
            </w:r>
            <w:r w:rsidR="00C57D52">
              <w:rPr>
                <w:rFonts w:eastAsiaTheme="minorHAnsi" w:cstheme="minorBidi"/>
                <w:iCs/>
                <w:noProof/>
                <w:color w:val="FFFFFF" w:themeColor="background1"/>
                <w:sz w:val="22"/>
                <w:szCs w:val="24"/>
                <w:lang w:val="en-GB" w:eastAsia="de-AT"/>
              </w:rPr>
              <w:t>pilot action</w:t>
            </w:r>
            <w:r>
              <w:rPr>
                <w:rFonts w:eastAsiaTheme="minorHAnsi" w:cstheme="minorBidi"/>
                <w:iCs/>
                <w:noProof/>
                <w:color w:val="FFFFFF" w:themeColor="background1"/>
                <w:sz w:val="22"/>
                <w:szCs w:val="24"/>
                <w:lang w:val="en-GB" w:eastAsia="de-AT"/>
              </w:rPr>
              <w:t xml:space="preserve"> (relevant NUTS level)</w:t>
            </w:r>
          </w:p>
        </w:tc>
      </w:tr>
      <w:tr w:rsidR="00F102B2" w:rsidRPr="006E75EC" w:rsidTr="00094F0C">
        <w:trPr>
          <w:cnfStyle w:val="000000100000" w:firstRow="0" w:lastRow="0" w:firstColumn="0" w:lastColumn="0" w:oddVBand="0" w:evenVBand="0" w:oddHBand="1" w:evenHBand="0" w:firstRowFirstColumn="0" w:firstRowLastColumn="0" w:lastRowFirstColumn="0" w:lastRowLastColumn="0"/>
          <w:cantSplit/>
          <w:trHeight w:val="267"/>
        </w:trPr>
        <w:tc>
          <w:tcPr>
            <w:tcW w:w="9498" w:type="dxa"/>
            <w:shd w:val="clear" w:color="auto" w:fill="E4E7E7" w:themeFill="accent1" w:themeFillTint="33"/>
            <w:tcMar>
              <w:top w:w="170" w:type="dxa"/>
              <w:bottom w:w="113" w:type="dxa"/>
            </w:tcMar>
          </w:tcPr>
          <w:p w:rsidR="00F102B2" w:rsidRPr="00805D51" w:rsidRDefault="00D87A2C" w:rsidP="00D87A2C">
            <w:pPr>
              <w:pStyle w:val="CE-TableStandard"/>
              <w:spacing w:line="276" w:lineRule="auto"/>
            </w:pPr>
            <w:r>
              <w:t>HU, HU101, HU321</w:t>
            </w:r>
          </w:p>
        </w:tc>
      </w:tr>
    </w:tbl>
    <w:p w:rsidR="00F102B2" w:rsidRDefault="00F102B2"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253147"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7B6FAA" w:rsidRDefault="00CA5EA6"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the </w:t>
            </w:r>
            <w:r w:rsidR="00C57D52">
              <w:rPr>
                <w:rFonts w:eastAsiaTheme="minorHAnsi" w:cstheme="minorBidi"/>
                <w:iCs/>
                <w:noProof/>
                <w:color w:val="FFFFFF" w:themeColor="background1"/>
                <w:sz w:val="22"/>
                <w:szCs w:val="24"/>
                <w:lang w:val="en-GB" w:eastAsia="de-AT"/>
              </w:rPr>
              <w:t>pilot action</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w:t>
            </w:r>
            <w:r w:rsidR="00C57D52">
              <w:rPr>
                <w:rFonts w:eastAsiaTheme="minorHAnsi" w:cstheme="minorBidi"/>
                <w:iCs/>
                <w:noProof/>
                <w:color w:val="FFFFFF" w:themeColor="background1"/>
                <w:sz w:val="22"/>
                <w:szCs w:val="24"/>
                <w:lang w:val="en-GB" w:eastAsia="de-AT"/>
              </w:rPr>
              <w:t>y</w:t>
            </w:r>
            <w:r w:rsidR="008C68CF" w:rsidRPr="008C68CF">
              <w:rPr>
                <w:rFonts w:eastAsiaTheme="minorHAnsi" w:cstheme="minorBidi"/>
                <w:iCs/>
                <w:noProof/>
                <w:color w:val="FFFFFF" w:themeColor="background1"/>
                <w:sz w:val="22"/>
                <w:szCs w:val="24"/>
                <w:lang w:val="en-GB" w:eastAsia="de-AT"/>
              </w:rPr>
              <w:t xml:space="preserve"> and target groups</w:t>
            </w:r>
          </w:p>
        </w:tc>
      </w:tr>
      <w:tr w:rsidR="008C68CF" w:rsidRPr="00253147" w:rsidTr="00094F0C">
        <w:trPr>
          <w:cnfStyle w:val="000000100000" w:firstRow="0" w:lastRow="0" w:firstColumn="0" w:lastColumn="0" w:oddVBand="0" w:evenVBand="0" w:oddHBand="1" w:evenHBand="0" w:firstRowFirstColumn="0" w:firstRowLastColumn="0" w:lastRowFirstColumn="0" w:lastRowLastColumn="0"/>
          <w:cantSplit/>
          <w:trHeight w:val="1609"/>
        </w:trPr>
        <w:tc>
          <w:tcPr>
            <w:tcW w:w="9498" w:type="dxa"/>
            <w:shd w:val="clear" w:color="auto" w:fill="E4E7E7" w:themeFill="accent1" w:themeFillTint="33"/>
            <w:tcMar>
              <w:top w:w="170" w:type="dxa"/>
              <w:bottom w:w="113" w:type="dxa"/>
            </w:tcMar>
          </w:tcPr>
          <w:p w:rsidR="008C68CF" w:rsidRPr="00805D51" w:rsidRDefault="00F66DD5" w:rsidP="0098679F">
            <w:pPr>
              <w:pStyle w:val="CE-TableStandard"/>
              <w:spacing w:line="276" w:lineRule="auto"/>
            </w:pPr>
            <w:r>
              <w:t xml:space="preserve">Subclinical CD has late health </w:t>
            </w:r>
            <w:r w:rsidR="007A74F3">
              <w:t>consequences</w:t>
            </w:r>
            <w:r>
              <w:t xml:space="preserve"> and clinical symptoms can be prevented or if mild, reversed more eas</w:t>
            </w:r>
            <w:r w:rsidR="00CE071B">
              <w:t>ily when diagnosis and therapy are</w:t>
            </w:r>
            <w:r>
              <w:t xml:space="preserve"> introduced early. Almost 90% of CD cases are asymptomatic during childho</w:t>
            </w:r>
            <w:r w:rsidR="0098679F">
              <w:t>o</w:t>
            </w:r>
            <w:r>
              <w:t>d but</w:t>
            </w:r>
            <w:r w:rsidR="00CE071B">
              <w:t xml:space="preserve"> when a close relative is diagnosed with CD, </w:t>
            </w:r>
            <w:r w:rsidR="00A50C08">
              <w:t xml:space="preserve">these subjects </w:t>
            </w:r>
            <w:r w:rsidR="00CE071B">
              <w:t>can be re</w:t>
            </w:r>
            <w:r w:rsidR="009E344D">
              <w:t>l</w:t>
            </w:r>
            <w:r w:rsidR="00CE071B">
              <w:t>at</w:t>
            </w:r>
            <w:r w:rsidR="009E344D">
              <w:t>iv</w:t>
            </w:r>
            <w:r w:rsidR="00CE071B">
              <w:t xml:space="preserve">ely easily detected by serological screening. This is important, as families often adopt gluten reduction in </w:t>
            </w:r>
            <w:r w:rsidR="0098679F">
              <w:t xml:space="preserve">their </w:t>
            </w:r>
            <w:r w:rsidR="00CE071B">
              <w:t>general eating habits and witho</w:t>
            </w:r>
            <w:r w:rsidR="00A50C08">
              <w:t>u</w:t>
            </w:r>
            <w:r w:rsidR="00CE071B">
              <w:t>t screening</w:t>
            </w:r>
            <w:r w:rsidR="00A50C08">
              <w:t xml:space="preserve">, other affected members may go long unnoticed. During </w:t>
            </w:r>
            <w:r w:rsidR="009B52F1">
              <w:t>our</w:t>
            </w:r>
            <w:r w:rsidR="00A50C08">
              <w:t xml:space="preserve"> pilot project, serology showed disease act</w:t>
            </w:r>
            <w:r w:rsidR="0098679F">
              <w:t>i</w:t>
            </w:r>
            <w:r w:rsidR="00A50C08">
              <w:t xml:space="preserve">vity in 15.8% of family members. As a result, family screening added 23% more </w:t>
            </w:r>
            <w:r w:rsidR="009B52F1">
              <w:t xml:space="preserve">persons to the </w:t>
            </w:r>
            <w:r w:rsidR="009E344D">
              <w:t xml:space="preserve">newly </w:t>
            </w:r>
            <w:r w:rsidR="009B52F1">
              <w:t xml:space="preserve">diagnosed CD cohort in our institution during the interval of the pilot. </w:t>
            </w:r>
            <w:r w:rsidR="009E344D">
              <w:t xml:space="preserve">It can be expected that systematic family screening by serology also in other settings and countries will increases clinical diagnoses in general by at least 20%. Regular screening for HLA-DQ2 and DQ8 above the age of 6 years is not cost-effective, </w:t>
            </w:r>
            <w:r w:rsidR="00B54721">
              <w:t xml:space="preserve">because the </w:t>
            </w:r>
            <w:r w:rsidR="007A74F3">
              <w:t>overwhelming</w:t>
            </w:r>
            <w:r w:rsidR="00B54721">
              <w:t xml:space="preserve"> majority of even DQ2 and/or DQ8 positive subjects still negative for serology at this age will remain unaffected also later on. However, a negative DQ2 and DQ8 result </w:t>
            </w:r>
            <w:r w:rsidR="009E344D">
              <w:t>in very young children may al</w:t>
            </w:r>
            <w:r w:rsidR="00B54721">
              <w:t>l</w:t>
            </w:r>
            <w:r w:rsidR="009E344D">
              <w:t xml:space="preserve">eviate the need for repeated serology screening. </w:t>
            </w:r>
            <w:r w:rsidR="00B54721">
              <w:t xml:space="preserve">In fact, no disease features were detected in </w:t>
            </w:r>
            <w:r w:rsidR="00DE7F63">
              <w:t xml:space="preserve">the pilot in persons negative for both DQ2 and DQ8. This test can be performed independently from gluten intake (even at newborn age), but only 15% of the children of known patients and 15-25% of other </w:t>
            </w:r>
            <w:r w:rsidR="007A74F3">
              <w:t>first-degree</w:t>
            </w:r>
            <w:r w:rsidR="00DE7F63">
              <w:t xml:space="preserve"> family members (sibs, parents) are DQ2 and DQ8 negative.</w:t>
            </w: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253147"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7B6FAA" w:rsidRDefault="008C68CF" w:rsidP="000C23CF">
            <w:pPr>
              <w:pStyle w:val="CE-StandardText"/>
              <w:spacing w:line="276" w:lineRule="auto"/>
              <w:jc w:val="left"/>
              <w:rPr>
                <w:rFonts w:eastAsiaTheme="minorHAnsi" w:cstheme="minorBidi"/>
                <w:iCs/>
                <w:noProof/>
                <w:color w:val="FFFFFF" w:themeColor="background1"/>
                <w:sz w:val="22"/>
                <w:szCs w:val="24"/>
                <w:lang w:val="en-GB" w:eastAsia="de-AT"/>
              </w:rPr>
            </w:pPr>
            <w:r w:rsidRPr="008C68CF">
              <w:rPr>
                <w:rFonts w:eastAsiaTheme="minorHAnsi" w:cstheme="minorBidi"/>
                <w:iCs/>
                <w:noProof/>
                <w:color w:val="FFFFFF" w:themeColor="background1"/>
                <w:sz w:val="22"/>
                <w:szCs w:val="24"/>
                <w:lang w:val="en-GB" w:eastAsia="de-AT"/>
              </w:rPr>
              <w:t xml:space="preserve">Sustainability of the </w:t>
            </w:r>
            <w:r w:rsidR="00C57D52">
              <w:rPr>
                <w:rFonts w:eastAsiaTheme="minorHAnsi" w:cstheme="minorBidi"/>
                <w:iCs/>
                <w:noProof/>
                <w:color w:val="FFFFFF" w:themeColor="background1"/>
                <w:sz w:val="22"/>
                <w:szCs w:val="24"/>
                <w:lang w:val="en-GB" w:eastAsia="de-AT"/>
              </w:rPr>
              <w:t>pilot action</w:t>
            </w:r>
            <w:r w:rsidR="00104303">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 xml:space="preserve">results </w:t>
            </w:r>
            <w:r w:rsidR="00104303">
              <w:rPr>
                <w:rFonts w:eastAsiaTheme="minorHAnsi" w:cstheme="minorBidi"/>
                <w:iCs/>
                <w:noProof/>
                <w:color w:val="FFFFFF" w:themeColor="background1"/>
                <w:sz w:val="22"/>
                <w:szCs w:val="24"/>
                <w:lang w:val="en-GB" w:eastAsia="de-AT"/>
              </w:rPr>
              <w:t>and transferability</w:t>
            </w:r>
            <w:r w:rsidR="00C57D52">
              <w:rPr>
                <w:rFonts w:eastAsiaTheme="minorHAnsi" w:cstheme="minorBidi"/>
                <w:iCs/>
                <w:noProof/>
                <w:color w:val="FFFFFF" w:themeColor="background1"/>
                <w:sz w:val="22"/>
                <w:szCs w:val="24"/>
                <w:lang w:val="en-GB" w:eastAsia="de-AT"/>
              </w:rPr>
              <w:t xml:space="preserve"> </w:t>
            </w:r>
            <w:r w:rsidR="0022238D">
              <w:rPr>
                <w:rFonts w:eastAsiaTheme="minorHAnsi" w:cstheme="minorBidi"/>
                <w:iCs/>
                <w:noProof/>
                <w:color w:val="FFFFFF" w:themeColor="background1"/>
                <w:sz w:val="22"/>
                <w:szCs w:val="24"/>
                <w:lang w:val="en-GB" w:eastAsia="de-AT"/>
              </w:rPr>
              <w:t>to other territories and</w:t>
            </w:r>
            <w:r w:rsidR="000C23CF">
              <w:rPr>
                <w:rFonts w:eastAsiaTheme="minorHAnsi" w:cstheme="minorBidi"/>
                <w:iCs/>
                <w:noProof/>
                <w:color w:val="FFFFFF" w:themeColor="background1"/>
                <w:sz w:val="22"/>
                <w:szCs w:val="24"/>
                <w:lang w:val="en-GB" w:eastAsia="de-AT"/>
              </w:rPr>
              <w:t xml:space="preserve"> </w:t>
            </w:r>
            <w:r w:rsidR="00104303">
              <w:rPr>
                <w:rFonts w:eastAsiaTheme="minorHAnsi" w:cstheme="minorBidi"/>
                <w:iCs/>
                <w:noProof/>
                <w:color w:val="FFFFFF" w:themeColor="background1"/>
                <w:sz w:val="22"/>
                <w:szCs w:val="24"/>
                <w:lang w:val="en-GB" w:eastAsia="de-AT"/>
              </w:rPr>
              <w:t>stakeholders</w:t>
            </w:r>
          </w:p>
        </w:tc>
      </w:tr>
      <w:tr w:rsidR="008C68CF" w:rsidRPr="00253147" w:rsidTr="00094F0C">
        <w:trPr>
          <w:cnfStyle w:val="000000100000" w:firstRow="0" w:lastRow="0" w:firstColumn="0" w:lastColumn="0" w:oddVBand="0" w:evenVBand="0" w:oddHBand="1" w:evenHBand="0" w:firstRowFirstColumn="0" w:firstRowLastColumn="0" w:lastRowFirstColumn="0" w:lastRowLastColumn="0"/>
          <w:cantSplit/>
          <w:trHeight w:val="1726"/>
        </w:trPr>
        <w:tc>
          <w:tcPr>
            <w:tcW w:w="9498" w:type="dxa"/>
            <w:shd w:val="clear" w:color="auto" w:fill="E4E7E7" w:themeFill="accent1" w:themeFillTint="33"/>
            <w:tcMar>
              <w:top w:w="170" w:type="dxa"/>
              <w:bottom w:w="113" w:type="dxa"/>
            </w:tcMar>
          </w:tcPr>
          <w:p w:rsidR="00CA5EA6" w:rsidRPr="00805D51" w:rsidRDefault="0096289B" w:rsidP="008844C6">
            <w:pPr>
              <w:pStyle w:val="CE-TableStandard"/>
              <w:spacing w:line="276" w:lineRule="auto"/>
            </w:pPr>
            <w:r>
              <w:t xml:space="preserve">With appropriate </w:t>
            </w:r>
            <w:r w:rsidR="007A74F3">
              <w:t>organization</w:t>
            </w:r>
            <w:r>
              <w:t xml:space="preserve">, regular screening for all </w:t>
            </w:r>
            <w:r w:rsidR="007A74F3">
              <w:t>first-degree</w:t>
            </w:r>
            <w:r>
              <w:t xml:space="preserve"> relatives of newly diagnosed CD patients can be established and the practice maintained. Since screening is part of internationally recommended case-finding strategy already incorporated into international guidelines, official referral from family doctors can be obtained for each person. For this practice, medical education will be needed in broader sense. When referral is available, the testing can be accommodated into outpatient evaluations and supported by health insurance. Technical advance in antibody detection, rapid tests and simplification of the genetic testing strategy and methods applied in this project will make the evaluation cheaper and more accessible also in smaller centers. However, transferability may be of variable degree to countries with very different hea</w:t>
            </w:r>
            <w:r w:rsidR="008844C6">
              <w:t xml:space="preserve">lth systems and referral rules. Transfer will be easier in </w:t>
            </w:r>
            <w:r w:rsidR="007A74F3">
              <w:t>pediatric</w:t>
            </w:r>
            <w:r w:rsidR="008844C6">
              <w:t xml:space="preserve"> care, partly because parents are more concerned about their children’s health, but it might prove to be difficult to convince adult family members to collaborate.</w:t>
            </w:r>
            <w:r>
              <w:t xml:space="preserve">   </w:t>
            </w: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253147"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7B6FAA" w:rsidRDefault="00104303"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L</w:t>
            </w:r>
            <w:r w:rsidR="008C68CF" w:rsidRPr="008C68CF">
              <w:rPr>
                <w:rFonts w:eastAsiaTheme="minorHAnsi" w:cstheme="minorBidi"/>
                <w:iCs/>
                <w:noProof/>
                <w:color w:val="FFFFFF" w:themeColor="background1"/>
                <w:sz w:val="22"/>
                <w:szCs w:val="24"/>
                <w:lang w:val="en-GB" w:eastAsia="de-AT"/>
              </w:rPr>
              <w:t xml:space="preserve">essons </w:t>
            </w:r>
            <w:r w:rsidR="00F102B2">
              <w:rPr>
                <w:rFonts w:eastAsiaTheme="minorHAnsi" w:cstheme="minorBidi"/>
                <w:iCs/>
                <w:noProof/>
                <w:color w:val="FFFFFF" w:themeColor="background1"/>
                <w:sz w:val="22"/>
                <w:szCs w:val="24"/>
                <w:lang w:val="en-GB" w:eastAsia="de-AT"/>
              </w:rPr>
              <w:t>learned</w:t>
            </w:r>
            <w:r w:rsidR="0022238D">
              <w:rPr>
                <w:rFonts w:eastAsiaTheme="minorHAnsi" w:cstheme="minorBidi"/>
                <w:iCs/>
                <w:noProof/>
                <w:color w:val="FFFFFF" w:themeColor="background1"/>
                <w:sz w:val="22"/>
                <w:szCs w:val="24"/>
                <w:lang w:val="en-GB" w:eastAsia="de-AT"/>
              </w:rPr>
              <w:t xml:space="preserve"> from </w:t>
            </w:r>
            <w:r>
              <w:rPr>
                <w:rFonts w:eastAsiaTheme="minorHAnsi" w:cstheme="minorBidi"/>
                <w:iCs/>
                <w:noProof/>
                <w:color w:val="FFFFFF" w:themeColor="background1"/>
                <w:sz w:val="22"/>
                <w:szCs w:val="24"/>
                <w:lang w:val="en-GB" w:eastAsia="de-AT"/>
              </w:rPr>
              <w:t xml:space="preserve">the implementation </w:t>
            </w:r>
            <w:r w:rsidR="0022238D">
              <w:rPr>
                <w:rFonts w:eastAsiaTheme="minorHAnsi" w:cstheme="minorBidi"/>
                <w:iCs/>
                <w:noProof/>
                <w:color w:val="FFFFFF" w:themeColor="background1"/>
                <w:sz w:val="22"/>
                <w:szCs w:val="24"/>
                <w:lang w:val="en-GB" w:eastAsia="de-AT"/>
              </w:rPr>
              <w:t xml:space="preserve">of the pilot action </w:t>
            </w:r>
            <w:r>
              <w:rPr>
                <w:rFonts w:eastAsiaTheme="minorHAnsi" w:cstheme="minorBidi"/>
                <w:iCs/>
                <w:noProof/>
                <w:color w:val="FFFFFF" w:themeColor="background1"/>
                <w:sz w:val="22"/>
                <w:szCs w:val="24"/>
                <w:lang w:val="en-GB" w:eastAsia="de-AT"/>
              </w:rPr>
              <w:t>and added value of transnational cooperation</w:t>
            </w:r>
          </w:p>
        </w:tc>
      </w:tr>
      <w:tr w:rsidR="008C68CF" w:rsidRPr="00253147" w:rsidTr="00094F0C">
        <w:trPr>
          <w:cnfStyle w:val="000000100000" w:firstRow="0" w:lastRow="0" w:firstColumn="0" w:lastColumn="0" w:oddVBand="0" w:evenVBand="0" w:oddHBand="1" w:evenHBand="0" w:firstRowFirstColumn="0" w:firstRowLastColumn="0" w:lastRowFirstColumn="0" w:lastRowLastColumn="0"/>
          <w:cantSplit/>
          <w:trHeight w:val="1726"/>
        </w:trPr>
        <w:tc>
          <w:tcPr>
            <w:tcW w:w="9498" w:type="dxa"/>
            <w:shd w:val="clear" w:color="auto" w:fill="E4E7E7" w:themeFill="accent1" w:themeFillTint="33"/>
            <w:tcMar>
              <w:top w:w="170" w:type="dxa"/>
              <w:bottom w:w="113" w:type="dxa"/>
            </w:tcMar>
          </w:tcPr>
          <w:p w:rsidR="00CA5EA6" w:rsidRPr="00805D51" w:rsidRDefault="008844C6" w:rsidP="00121526">
            <w:pPr>
              <w:pStyle w:val="CE-TableStandard"/>
              <w:spacing w:line="276" w:lineRule="auto"/>
            </w:pPr>
            <w:r>
              <w:lastRenderedPageBreak/>
              <w:t xml:space="preserve">We </w:t>
            </w:r>
            <w:r w:rsidR="00121526">
              <w:t xml:space="preserve">experienced </w:t>
            </w:r>
            <w:r>
              <w:t xml:space="preserve">that families were very open to listen to provided information and a high percentage of them volunteered for the screening involving all first-degree relatives. In some </w:t>
            </w:r>
            <w:r w:rsidR="007A74F3">
              <w:t>family’s</w:t>
            </w:r>
            <w:r>
              <w:t xml:space="preserve"> parents gave consent to screen their children, but they did not participate although mothers were often collaborating </w:t>
            </w:r>
            <w:r w:rsidR="002621A5">
              <w:t>more than did</w:t>
            </w:r>
            <w:r>
              <w:t xml:space="preserve"> fathers. We learned that nowadays it is quite easy to start a gluten-free diet </w:t>
            </w:r>
            <w:r w:rsidR="002621A5">
              <w:t xml:space="preserve">just in anyone and this may compromise screening results. </w:t>
            </w:r>
            <w:r w:rsidR="007A74F3">
              <w:t>Therefore,</w:t>
            </w:r>
            <w:r w:rsidR="002621A5">
              <w:t xml:space="preserve"> advice for </w:t>
            </w:r>
            <w:r w:rsidR="00121526">
              <w:t xml:space="preserve">the family </w:t>
            </w:r>
            <w:r w:rsidR="002621A5">
              <w:t xml:space="preserve">screening should be communicated as early as possible </w:t>
            </w:r>
            <w:r w:rsidR="00E2101D">
              <w:t xml:space="preserve">and prior to reducing gluten intake. We further learned that genetic results must be always personally discussed to avoid </w:t>
            </w:r>
            <w:r w:rsidR="00121526">
              <w:t xml:space="preserve">misinterpretation and anxiety. A positive HLA-DQ result, in fact, does not prove any disease. It is only </w:t>
            </w:r>
            <w:r w:rsidR="00DC3F9C">
              <w:t xml:space="preserve">a normal variant in 30% of the normal population making gluten presentation possible to the immune system, but most of these people remains healthy. </w:t>
            </w:r>
            <w:r w:rsidR="007A74F3">
              <w:t>Thus,</w:t>
            </w:r>
            <w:r w:rsidR="00DC3F9C">
              <w:t xml:space="preserve"> persons with positive result should not be regarded as diseased. However, if they are still young and relatives of CD patients, they should be carefully followed and retested.</w:t>
            </w:r>
          </w:p>
        </w:tc>
      </w:tr>
    </w:tbl>
    <w:p w:rsidR="008C68CF" w:rsidRDefault="008C68CF" w:rsidP="00BF2027">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22238D" w:rsidRPr="00253147" w:rsidTr="00C173F9">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22238D"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References to relevant deliverables and web-links</w:t>
            </w:r>
          </w:p>
          <w:p w:rsidR="0022238D" w:rsidRPr="007B6FAA" w:rsidRDefault="0022238D" w:rsidP="00BF2027">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If applicable, pictures or images to be provided as annex</w:t>
            </w:r>
          </w:p>
        </w:tc>
      </w:tr>
      <w:tr w:rsidR="008C68CF" w:rsidRPr="00253147" w:rsidTr="00094F0C">
        <w:trPr>
          <w:cnfStyle w:val="000000100000" w:firstRow="0" w:lastRow="0" w:firstColumn="0" w:lastColumn="0" w:oddVBand="0" w:evenVBand="0" w:oddHBand="1" w:evenHBand="0" w:firstRowFirstColumn="0" w:firstRowLastColumn="0" w:lastRowFirstColumn="0" w:lastRowLastColumn="0"/>
          <w:cantSplit/>
          <w:trHeight w:val="1546"/>
        </w:trPr>
        <w:tc>
          <w:tcPr>
            <w:tcW w:w="9498" w:type="dxa"/>
            <w:shd w:val="clear" w:color="auto" w:fill="E4E7E7" w:themeFill="accent1" w:themeFillTint="33"/>
            <w:tcMar>
              <w:top w:w="170" w:type="dxa"/>
              <w:bottom w:w="113" w:type="dxa"/>
            </w:tcMar>
          </w:tcPr>
          <w:p w:rsidR="008C68CF" w:rsidRDefault="00DC3F9C" w:rsidP="00DC3F9C">
            <w:pPr>
              <w:autoSpaceDE w:val="0"/>
              <w:autoSpaceDN w:val="0"/>
              <w:adjustRightInd w:val="0"/>
              <w:spacing w:before="0" w:line="240" w:lineRule="auto"/>
              <w:ind w:left="0" w:right="0"/>
              <w:jc w:val="left"/>
              <w:rPr>
                <w:rFonts w:ascii="OpenSans" w:hAnsi="OpenSans" w:cs="OpenSans"/>
                <w:sz w:val="17"/>
                <w:szCs w:val="17"/>
                <w:lang w:val="hu-HU"/>
              </w:rPr>
            </w:pPr>
            <w:r>
              <w:rPr>
                <w:rFonts w:ascii="OpenSans-Bold" w:hAnsi="OpenSans-Bold" w:cs="OpenSans-Bold"/>
                <w:b/>
                <w:bCs/>
                <w:sz w:val="17"/>
                <w:szCs w:val="17"/>
                <w:lang w:val="hu-HU"/>
              </w:rPr>
              <w:t xml:space="preserve">Deliverable D.T3.2.10 </w:t>
            </w:r>
            <w:r>
              <w:rPr>
                <w:rFonts w:ascii="OpenSans" w:hAnsi="OpenSans" w:cs="OpenSans"/>
                <w:sz w:val="17"/>
                <w:szCs w:val="17"/>
                <w:lang w:val="hu-HU"/>
              </w:rPr>
              <w:t>Evaluation and follow up of family members</w:t>
            </w:r>
          </w:p>
          <w:p w:rsidR="00DC3F9C" w:rsidRDefault="00DC3F9C" w:rsidP="00DC3F9C">
            <w:pPr>
              <w:autoSpaceDE w:val="0"/>
              <w:autoSpaceDN w:val="0"/>
              <w:adjustRightInd w:val="0"/>
              <w:spacing w:before="0" w:line="240" w:lineRule="auto"/>
              <w:ind w:left="0" w:right="0"/>
              <w:jc w:val="left"/>
              <w:rPr>
                <w:rFonts w:ascii="OpenSans" w:hAnsi="OpenSans" w:cs="OpenSans"/>
                <w:sz w:val="17"/>
                <w:szCs w:val="17"/>
                <w:lang w:val="hu-HU"/>
              </w:rPr>
            </w:pPr>
            <w:r>
              <w:rPr>
                <w:rFonts w:ascii="OpenSans" w:hAnsi="OpenSans" w:cs="OpenSans"/>
                <w:sz w:val="17"/>
                <w:szCs w:val="17"/>
                <w:lang w:val="hu-HU"/>
              </w:rPr>
              <w:t>Workshop and equipment pictures</w:t>
            </w:r>
          </w:p>
          <w:p w:rsidR="00253147" w:rsidRDefault="00253147" w:rsidP="00DC3F9C">
            <w:pPr>
              <w:autoSpaceDE w:val="0"/>
              <w:autoSpaceDN w:val="0"/>
              <w:adjustRightInd w:val="0"/>
              <w:spacing w:before="0" w:line="240" w:lineRule="auto"/>
              <w:ind w:left="0" w:right="0"/>
              <w:jc w:val="left"/>
            </w:pPr>
          </w:p>
          <w:p w:rsidR="00253147" w:rsidRDefault="00253147" w:rsidP="00DC3F9C">
            <w:pPr>
              <w:autoSpaceDE w:val="0"/>
              <w:autoSpaceDN w:val="0"/>
              <w:adjustRightInd w:val="0"/>
              <w:spacing w:before="0" w:line="240" w:lineRule="auto"/>
              <w:ind w:left="0" w:right="0"/>
              <w:jc w:val="left"/>
              <w:rPr>
                <w:lang w:val="en-US"/>
              </w:rPr>
            </w:pPr>
            <w:r w:rsidRPr="00253147">
              <w:rPr>
                <w:lang w:val="en-US"/>
              </w:rPr>
              <w:t>All deliverables and the o</w:t>
            </w:r>
            <w:r>
              <w:rPr>
                <w:lang w:val="en-US"/>
              </w:rPr>
              <w:t>utput can be found here:</w:t>
            </w:r>
          </w:p>
          <w:p w:rsidR="00253147" w:rsidRDefault="00253147" w:rsidP="00DC3F9C">
            <w:pPr>
              <w:autoSpaceDE w:val="0"/>
              <w:autoSpaceDN w:val="0"/>
              <w:adjustRightInd w:val="0"/>
              <w:spacing w:before="0" w:line="240" w:lineRule="auto"/>
              <w:ind w:left="0" w:right="0"/>
              <w:jc w:val="left"/>
              <w:rPr>
                <w:lang w:val="en-US"/>
              </w:rPr>
            </w:pPr>
            <w:hyperlink r:id="rId8" w:history="1">
              <w:r w:rsidRPr="00F57A91">
                <w:rPr>
                  <w:rStyle w:val="Hiperpovezava"/>
                  <w:lang w:val="en-US"/>
                </w:rPr>
                <w:t>https://www.interreg-central.eu/Content.Node/Evaluation-and-follow-up-of-family-members.html</w:t>
              </w:r>
            </w:hyperlink>
          </w:p>
          <w:p w:rsidR="00253147" w:rsidRPr="00253147" w:rsidRDefault="00253147" w:rsidP="00DC3F9C">
            <w:pPr>
              <w:autoSpaceDE w:val="0"/>
              <w:autoSpaceDN w:val="0"/>
              <w:adjustRightInd w:val="0"/>
              <w:spacing w:before="0" w:line="240" w:lineRule="auto"/>
              <w:ind w:left="0" w:right="0"/>
              <w:jc w:val="left"/>
              <w:rPr>
                <w:lang w:val="en-US"/>
              </w:rPr>
            </w:pPr>
            <w:bookmarkStart w:id="0" w:name="_GoBack"/>
            <w:bookmarkEnd w:id="0"/>
          </w:p>
        </w:tc>
      </w:tr>
    </w:tbl>
    <w:p w:rsidR="008C68CF" w:rsidRDefault="008C68CF" w:rsidP="00BF2027">
      <w:pPr>
        <w:pStyle w:val="CE-StandardText"/>
        <w:spacing w:line="276" w:lineRule="auto"/>
        <w:rPr>
          <w:lang w:val="en-GB" w:eastAsia="de-AT"/>
        </w:rPr>
      </w:pPr>
    </w:p>
    <w:p w:rsidR="00DC3F9C" w:rsidRDefault="00F87C83" w:rsidP="00BF2027">
      <w:pPr>
        <w:pStyle w:val="CE-StandardText"/>
        <w:spacing w:line="276" w:lineRule="auto"/>
        <w:rPr>
          <w:noProof/>
          <w:lang w:val="hu-HU" w:eastAsia="hu-HU"/>
        </w:rPr>
      </w:pPr>
      <w:r w:rsidRPr="00F87C83">
        <w:rPr>
          <w:noProof/>
          <w:lang w:val="hu-HU" w:eastAsia="hu-HU"/>
        </w:rPr>
        <w:drawing>
          <wp:inline distT="0" distB="0" distL="0" distR="0">
            <wp:extent cx="2401200" cy="1800000"/>
            <wp:effectExtent l="0" t="0" r="0" b="0"/>
            <wp:docPr id="1" name="Kép 1" descr="D:\Dokumentumok\Munkak\2016Focus\Report4\Képek\P10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umok\Munkak\2016Focus\Report4\Képek\P1010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54044B">
        <w:rPr>
          <w:noProof/>
          <w:lang w:val="hu-HU" w:eastAsia="hu-HU"/>
        </w:rPr>
        <w:t xml:space="preserve"> </w:t>
      </w:r>
      <w:r w:rsidR="0054044B" w:rsidRPr="0054044B">
        <w:rPr>
          <w:noProof/>
          <w:lang w:val="hu-HU" w:eastAsia="hu-HU"/>
        </w:rPr>
        <w:drawing>
          <wp:inline distT="0" distB="0" distL="0" distR="0">
            <wp:extent cx="2401200" cy="1800000"/>
            <wp:effectExtent l="0" t="0" r="0" b="0"/>
            <wp:docPr id="5" name="Kép 5" descr="D:\Dokumentumok\Munkak\2016Focus\Report4\Képek\P10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umok\Munkak\2016Focus\Report4\Képek\P10100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DC0469">
        <w:rPr>
          <w:noProof/>
          <w:lang w:val="hu-HU" w:eastAsia="hu-HU"/>
        </w:rPr>
        <w:t xml:space="preserve"> </w:t>
      </w:r>
      <w:r w:rsidR="00DC0469" w:rsidRPr="00DA3BFC">
        <w:rPr>
          <w:noProof/>
          <w:lang w:val="hu-HU" w:eastAsia="hu-HU"/>
        </w:rPr>
        <w:drawing>
          <wp:inline distT="0" distB="0" distL="0" distR="0" wp14:anchorId="1BF5922F" wp14:editId="36F5D729">
            <wp:extent cx="1800000" cy="1011600"/>
            <wp:effectExtent l="0" t="6033" r="4128" b="4127"/>
            <wp:docPr id="10" name="Kép 10" descr="D:\Dokumentumok\Munkak\2016Focus\2017.11.24_WPT3 workshop photos\2018.02.26\DSC_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umok\Munkak\2016Focus\2017.11.24_WPT3 workshop photos\2018.02.26\DSC_39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00000" cy="1011600"/>
                    </a:xfrm>
                    <a:prstGeom prst="rect">
                      <a:avLst/>
                    </a:prstGeom>
                    <a:noFill/>
                    <a:ln>
                      <a:noFill/>
                    </a:ln>
                  </pic:spPr>
                </pic:pic>
              </a:graphicData>
            </a:graphic>
          </wp:inline>
        </w:drawing>
      </w:r>
    </w:p>
    <w:p w:rsidR="0054044B" w:rsidRDefault="0054044B" w:rsidP="00BF2027">
      <w:pPr>
        <w:pStyle w:val="CE-StandardText"/>
        <w:spacing w:line="276" w:lineRule="auto"/>
        <w:rPr>
          <w:noProof/>
          <w:lang w:val="hu-HU" w:eastAsia="hu-HU"/>
        </w:rPr>
      </w:pPr>
      <w:r w:rsidRPr="0054044B">
        <w:rPr>
          <w:noProof/>
          <w:lang w:val="hu-HU" w:eastAsia="hu-HU"/>
        </w:rPr>
        <w:drawing>
          <wp:inline distT="0" distB="0" distL="0" distR="0">
            <wp:extent cx="2401200" cy="1800000"/>
            <wp:effectExtent l="0" t="0" r="0" b="0"/>
            <wp:docPr id="7" name="Kép 7" descr="D:\Dokumentumok\Munkak\2016Focus\Report4\Képek\P10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umok\Munkak\2016Focus\Report4\Képek\P10100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Pr>
          <w:noProof/>
          <w:lang w:val="hu-HU" w:eastAsia="hu-HU"/>
        </w:rPr>
        <w:t xml:space="preserve"> </w:t>
      </w:r>
      <w:r w:rsidRPr="0054044B">
        <w:rPr>
          <w:noProof/>
          <w:lang w:val="hu-HU" w:eastAsia="hu-HU"/>
        </w:rPr>
        <w:drawing>
          <wp:inline distT="0" distB="0" distL="0" distR="0">
            <wp:extent cx="2401200" cy="1800000"/>
            <wp:effectExtent l="0" t="0" r="0" b="0"/>
            <wp:docPr id="9" name="Kép 9" descr="D:\Dokumentumok\Munkak\2016Focus\2017.11.24_WPT3 workshop photos\P10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umok\Munkak\2016Focus\2017.11.24_WPT3 workshop photos\P1010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DA3BFC">
        <w:rPr>
          <w:noProof/>
          <w:lang w:val="hu-HU" w:eastAsia="hu-HU"/>
        </w:rPr>
        <w:t xml:space="preserve"> </w:t>
      </w:r>
    </w:p>
    <w:p w:rsidR="0054044B" w:rsidRDefault="00DA3BFC" w:rsidP="00BF2027">
      <w:pPr>
        <w:pStyle w:val="CE-StandardText"/>
        <w:spacing w:line="276" w:lineRule="auto"/>
        <w:rPr>
          <w:noProof/>
          <w:lang w:val="hu-HU" w:eastAsia="hu-HU"/>
        </w:rPr>
      </w:pPr>
      <w:r>
        <w:rPr>
          <w:noProof/>
          <w:lang w:val="hu-HU" w:eastAsia="hu-HU"/>
        </w:rPr>
        <w:t>Stakeholder workshops at Heim Pál Hospital</w:t>
      </w:r>
    </w:p>
    <w:p w:rsidR="0054044B" w:rsidRDefault="0054044B" w:rsidP="00BF2027">
      <w:pPr>
        <w:pStyle w:val="CE-StandardText"/>
        <w:spacing w:line="276" w:lineRule="auto"/>
        <w:rPr>
          <w:noProof/>
          <w:lang w:val="hu-HU" w:eastAsia="hu-HU"/>
        </w:rPr>
      </w:pPr>
      <w:r w:rsidRPr="0054044B">
        <w:rPr>
          <w:noProof/>
          <w:lang w:val="hu-HU" w:eastAsia="hu-HU"/>
        </w:rPr>
        <w:lastRenderedPageBreak/>
        <w:drawing>
          <wp:inline distT="0" distB="0" distL="0" distR="0">
            <wp:extent cx="2338214" cy="1753661"/>
            <wp:effectExtent l="6667" t="0" r="0" b="0"/>
            <wp:docPr id="8" name="Kép 8" descr="D:\Dokumentumok\Munkak\2016Focus\Report5\P10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umok\Munkak\2016Focus\Report5\P101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338214" cy="1753661"/>
                    </a:xfrm>
                    <a:prstGeom prst="rect">
                      <a:avLst/>
                    </a:prstGeom>
                    <a:noFill/>
                    <a:ln>
                      <a:noFill/>
                    </a:ln>
                  </pic:spPr>
                </pic:pic>
              </a:graphicData>
            </a:graphic>
          </wp:inline>
        </w:drawing>
      </w:r>
    </w:p>
    <w:p w:rsidR="0054044B" w:rsidRPr="00156013" w:rsidRDefault="00DA3BFC" w:rsidP="00BF2027">
      <w:pPr>
        <w:pStyle w:val="CE-StandardText"/>
        <w:spacing w:line="276" w:lineRule="auto"/>
        <w:rPr>
          <w:lang w:val="en-GB" w:eastAsia="de-AT"/>
        </w:rPr>
      </w:pPr>
      <w:r>
        <w:rPr>
          <w:lang w:val="en-GB" w:eastAsia="de-AT"/>
        </w:rPr>
        <w:t>Class II laminar box purchased for proper preparation of DNA</w:t>
      </w:r>
    </w:p>
    <w:sectPr w:rsidR="0054044B" w:rsidRPr="00156013" w:rsidSect="00731BF8">
      <w:headerReference w:type="default" r:id="rId15"/>
      <w:footerReference w:type="default" r:id="rId16"/>
      <w:headerReference w:type="first" r:id="rId17"/>
      <w:pgSz w:w="11906" w:h="16838" w:code="9"/>
      <w:pgMar w:top="2977" w:right="851" w:bottom="993" w:left="1559"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22B5" w:rsidRDefault="006F22B5" w:rsidP="00877C37">
      <w:r>
        <w:separator/>
      </w:r>
    </w:p>
    <w:p w:rsidR="006F22B5" w:rsidRDefault="006F22B5"/>
    <w:p w:rsidR="006F22B5" w:rsidRDefault="006F22B5"/>
    <w:p w:rsidR="006F22B5" w:rsidRDefault="006F22B5"/>
  </w:endnote>
  <w:endnote w:type="continuationSeparator" w:id="0">
    <w:p w:rsidR="006F22B5" w:rsidRDefault="006F22B5" w:rsidP="00877C37">
      <w:r>
        <w:continuationSeparator/>
      </w:r>
    </w:p>
    <w:p w:rsidR="006F22B5" w:rsidRDefault="006F22B5"/>
    <w:p w:rsidR="006F22B5" w:rsidRDefault="006F22B5"/>
    <w:p w:rsidR="006F22B5" w:rsidRDefault="006F22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Rounded MT Bold">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EE"/>
    <w:family w:val="auto"/>
    <w:notTrueType/>
    <w:pitch w:val="default"/>
    <w:sig w:usb0="00000005" w:usb1="00000000" w:usb2="00000000" w:usb3="00000000" w:csb0="00000002" w:csb1="00000000"/>
  </w:font>
  <w:font w:name="OpenSans-Bold">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73A" w:rsidRPr="00B07377" w:rsidRDefault="00DA073A" w:rsidP="00DA073A">
    <w:pPr>
      <w:pStyle w:val="CE-Head3"/>
      <w:jc w:val="right"/>
      <w:rPr>
        <w:sz w:val="20"/>
      </w:rPr>
    </w:pPr>
  </w:p>
  <w:p w:rsidR="00DA073A" w:rsidRDefault="00DA073A" w:rsidP="00DA073A">
    <w:pPr>
      <w:pStyle w:val="Noga"/>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22B5" w:rsidRPr="00924079" w:rsidRDefault="006F22B5" w:rsidP="00924079">
      <w:pPr>
        <w:ind w:left="0"/>
        <w:rPr>
          <w:color w:val="4D4933" w:themeColor="accent6"/>
        </w:rPr>
      </w:pPr>
      <w:r w:rsidRPr="00924079">
        <w:rPr>
          <w:color w:val="4D4933" w:themeColor="accent6"/>
        </w:rPr>
        <w:separator/>
      </w:r>
    </w:p>
    <w:p w:rsidR="006F22B5" w:rsidRDefault="006F22B5" w:rsidP="00924079">
      <w:pPr>
        <w:ind w:left="0"/>
      </w:pPr>
    </w:p>
    <w:p w:rsidR="006F22B5" w:rsidRDefault="006F22B5"/>
    <w:p w:rsidR="006F22B5" w:rsidRDefault="006F22B5"/>
    <w:p w:rsidR="006F22B5" w:rsidRDefault="006F22B5"/>
  </w:footnote>
  <w:footnote w:type="continuationSeparator" w:id="0">
    <w:p w:rsidR="006F22B5" w:rsidRDefault="006F22B5" w:rsidP="00924079">
      <w:pPr>
        <w:ind w:left="0"/>
      </w:pPr>
      <w:r>
        <w:continuationSeparator/>
      </w:r>
    </w:p>
    <w:p w:rsidR="006F22B5" w:rsidRDefault="006F22B5"/>
    <w:p w:rsidR="006F22B5" w:rsidRDefault="006F22B5"/>
    <w:p w:rsidR="006F22B5" w:rsidRDefault="006F22B5"/>
  </w:footnote>
  <w:footnote w:type="continuationNotice" w:id="1">
    <w:p w:rsidR="006F22B5" w:rsidRDefault="006F22B5">
      <w:pPr>
        <w:spacing w:before="0" w:line="240" w:lineRule="auto"/>
      </w:pPr>
    </w:p>
    <w:p w:rsidR="006F22B5" w:rsidRDefault="006F22B5"/>
    <w:p w:rsidR="006F22B5" w:rsidRDefault="006F22B5"/>
    <w:p w:rsidR="006F22B5" w:rsidRDefault="006F22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D54" w:rsidRPr="00C8321B" w:rsidRDefault="00DF06E9" w:rsidP="00C8321B">
    <w:pPr>
      <w:pStyle w:val="Glava"/>
      <w:jc w:val="center"/>
    </w:pPr>
    <w:r>
      <w:rPr>
        <w:noProof/>
        <w:lang w:val="hu-HU" w:eastAsia="hu-HU"/>
      </w:rPr>
      <w:drawing>
        <wp:anchor distT="0" distB="0" distL="114300" distR="114300" simplePos="0" relativeHeight="251659776" behindDoc="1" locked="0" layoutInCell="1" allowOverlap="1" wp14:anchorId="5A0A3F06" wp14:editId="5620A26B">
          <wp:simplePos x="0" y="0"/>
          <wp:positionH relativeFrom="column">
            <wp:posOffset>-352425</wp:posOffset>
          </wp:positionH>
          <wp:positionV relativeFrom="paragraph">
            <wp:posOffset>0</wp:posOffset>
          </wp:positionV>
          <wp:extent cx="6917130" cy="1439544"/>
          <wp:effectExtent l="0" t="0" r="0" b="8890"/>
          <wp:wrapNone/>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54" w:rsidRDefault="00596D54"/>
  <w:p w:rsidR="00596D54" w:rsidRDefault="00596D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D54" w:rsidRDefault="00FD51C4" w:rsidP="00D41EE5">
    <w:pPr>
      <w:pStyle w:val="Glava"/>
      <w:ind w:left="-1559"/>
    </w:pPr>
    <w:r>
      <w:rPr>
        <w:noProof/>
        <w:lang w:val="hu-HU" w:eastAsia="hu-HU"/>
      </w:rPr>
      <w:drawing>
        <wp:anchor distT="0" distB="0" distL="114300" distR="114300" simplePos="0" relativeHeight="251657728" behindDoc="1" locked="0" layoutInCell="1" allowOverlap="1" wp14:anchorId="5A0A3F06" wp14:editId="5620A26B">
          <wp:simplePos x="0" y="0"/>
          <wp:positionH relativeFrom="column">
            <wp:posOffset>-409575</wp:posOffset>
          </wp:positionH>
          <wp:positionV relativeFrom="paragraph">
            <wp:posOffset>66675</wp:posOffset>
          </wp:positionV>
          <wp:extent cx="6917130" cy="1439544"/>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EDF2766"/>
    <w:multiLevelType w:val="hybridMultilevel"/>
    <w:tmpl w:val="0DA6FBEC"/>
    <w:lvl w:ilvl="0" w:tplc="0407000F">
      <w:start w:val="1"/>
      <w:numFmt w:val="decimal"/>
      <w:pStyle w:val="Naslov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15:restartNumberingAfterBreak="0">
    <w:nsid w:val="10606087"/>
    <w:multiLevelType w:val="multilevel"/>
    <w:tmpl w:val="1FE28E64"/>
    <w:numStyleLink w:val="CentralEuropeStandard"/>
  </w:abstractNum>
  <w:abstractNum w:abstractNumId="5" w15:restartNumberingAfterBreak="0">
    <w:nsid w:val="12AB56D5"/>
    <w:multiLevelType w:val="multilevel"/>
    <w:tmpl w:val="1FE28E64"/>
    <w:numStyleLink w:val="CentralEuropeStandard"/>
  </w:abstractNum>
  <w:abstractNum w:abstractNumId="6" w15:restartNumberingAfterBreak="0">
    <w:nsid w:val="15301306"/>
    <w:multiLevelType w:val="multilevel"/>
    <w:tmpl w:val="1FE28E64"/>
    <w:numStyleLink w:val="CentralEuropeStandard"/>
  </w:abstractNum>
  <w:abstractNum w:abstractNumId="7" w15:restartNumberingAfterBreak="0">
    <w:nsid w:val="15E770C7"/>
    <w:multiLevelType w:val="multilevel"/>
    <w:tmpl w:val="1FE28E64"/>
    <w:numStyleLink w:val="CentralEuropeStandard"/>
  </w:abstractNum>
  <w:abstractNum w:abstractNumId="8" w15:restartNumberingAfterBreak="0">
    <w:nsid w:val="16D93588"/>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9"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0" w15:restartNumberingAfterBreak="0">
    <w:nsid w:val="28BB52A8"/>
    <w:multiLevelType w:val="hybridMultilevel"/>
    <w:tmpl w:val="8776600C"/>
    <w:lvl w:ilvl="0" w:tplc="1AD6EE30">
      <w:start w:val="1"/>
      <w:numFmt w:val="bullet"/>
      <w:lvlText w:val=""/>
      <w:lvlJc w:val="left"/>
      <w:pPr>
        <w:ind w:left="720" w:hanging="360"/>
      </w:pPr>
      <w:rPr>
        <w:rFonts w:ascii="Wingdings" w:hAnsi="Wingding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A234093"/>
    <w:multiLevelType w:val="multilevel"/>
    <w:tmpl w:val="1FE28E64"/>
    <w:numStyleLink w:val="CentralEuropeStandard"/>
  </w:abstractNum>
  <w:abstractNum w:abstractNumId="1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24613E"/>
    <w:multiLevelType w:val="hybridMultilevel"/>
    <w:tmpl w:val="3B186FC2"/>
    <w:lvl w:ilvl="0" w:tplc="6316D04E">
      <w:start w:val="1"/>
      <w:numFmt w:val="decimal"/>
      <w:pStyle w:val="Naslov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4" w15:restartNumberingAfterBreak="0">
    <w:nsid w:val="2EED7E2F"/>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15"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DB50B7"/>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color w:val="7D8B8A" w:themeColor="accent1"/>
        <w:sz w:val="18"/>
      </w:rPr>
    </w:lvl>
    <w:lvl w:ilvl="7">
      <w:start w:val="1"/>
      <w:numFmt w:val="bullet"/>
      <w:lvlText w:val=""/>
      <w:lvlJc w:val="left"/>
      <w:pPr>
        <w:ind w:left="2272" w:hanging="284"/>
      </w:pPr>
      <w:rPr>
        <w:rFonts w:ascii="Symbol" w:hAnsi="Symbol" w:hint="default"/>
        <w:b w:val="0"/>
        <w:i w:val="0"/>
        <w:color w:val="7D8B8A" w:themeColor="accent1"/>
        <w:sz w:val="18"/>
      </w:rPr>
    </w:lvl>
    <w:lvl w:ilvl="8">
      <w:start w:val="1"/>
      <w:numFmt w:val="bullet"/>
      <w:lvlText w:val=""/>
      <w:lvlJc w:val="left"/>
      <w:pPr>
        <w:ind w:left="2556" w:hanging="284"/>
      </w:pPr>
      <w:rPr>
        <w:rFonts w:ascii="Symbol" w:hAnsi="Symbol" w:hint="default"/>
        <w:b w:val="0"/>
        <w:i w:val="0"/>
        <w:color w:val="7D8B8A" w:themeColor="accent1"/>
        <w:sz w:val="18"/>
      </w:rPr>
    </w:lvl>
  </w:abstractNum>
  <w:abstractNum w:abstractNumId="20"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4671134E"/>
    <w:multiLevelType w:val="hybridMultilevel"/>
    <w:tmpl w:val="5DECBA00"/>
    <w:lvl w:ilvl="0" w:tplc="0407000F">
      <w:start w:val="1"/>
      <w:numFmt w:val="upperLetter"/>
      <w:pStyle w:val="Naslov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2"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4A34021C"/>
    <w:multiLevelType w:val="multilevel"/>
    <w:tmpl w:val="1FE28E64"/>
    <w:numStyleLink w:val="CentralEuropeStandard"/>
  </w:abstractNum>
  <w:abstractNum w:abstractNumId="25" w15:restartNumberingAfterBreak="0">
    <w:nsid w:val="4CA63A84"/>
    <w:multiLevelType w:val="hybridMultilevel"/>
    <w:tmpl w:val="C458137C"/>
    <w:lvl w:ilvl="0" w:tplc="3168B8DE">
      <w:start w:val="1"/>
      <w:numFmt w:val="decimal"/>
      <w:lvlText w:val="%1)"/>
      <w:lvlJc w:val="left"/>
      <w:pPr>
        <w:ind w:left="1778" w:hanging="360"/>
      </w:pPr>
      <w:rPr>
        <w:rFonts w:hint="default"/>
      </w:rPr>
    </w:lvl>
    <w:lvl w:ilvl="1" w:tplc="0C070019" w:tentative="1">
      <w:start w:val="1"/>
      <w:numFmt w:val="lowerLetter"/>
      <w:lvlText w:val="%2."/>
      <w:lvlJc w:val="left"/>
      <w:pPr>
        <w:ind w:left="2498" w:hanging="360"/>
      </w:pPr>
    </w:lvl>
    <w:lvl w:ilvl="2" w:tplc="0C07001B" w:tentative="1">
      <w:start w:val="1"/>
      <w:numFmt w:val="lowerRoman"/>
      <w:lvlText w:val="%3."/>
      <w:lvlJc w:val="right"/>
      <w:pPr>
        <w:ind w:left="3218" w:hanging="180"/>
      </w:pPr>
    </w:lvl>
    <w:lvl w:ilvl="3" w:tplc="0C07000F" w:tentative="1">
      <w:start w:val="1"/>
      <w:numFmt w:val="decimal"/>
      <w:lvlText w:val="%4."/>
      <w:lvlJc w:val="left"/>
      <w:pPr>
        <w:ind w:left="3938" w:hanging="360"/>
      </w:pPr>
    </w:lvl>
    <w:lvl w:ilvl="4" w:tplc="0C070019" w:tentative="1">
      <w:start w:val="1"/>
      <w:numFmt w:val="lowerLetter"/>
      <w:lvlText w:val="%5."/>
      <w:lvlJc w:val="left"/>
      <w:pPr>
        <w:ind w:left="4658" w:hanging="360"/>
      </w:pPr>
    </w:lvl>
    <w:lvl w:ilvl="5" w:tplc="0C07001B" w:tentative="1">
      <w:start w:val="1"/>
      <w:numFmt w:val="lowerRoman"/>
      <w:lvlText w:val="%6."/>
      <w:lvlJc w:val="right"/>
      <w:pPr>
        <w:ind w:left="5378" w:hanging="180"/>
      </w:pPr>
    </w:lvl>
    <w:lvl w:ilvl="6" w:tplc="0C07000F" w:tentative="1">
      <w:start w:val="1"/>
      <w:numFmt w:val="decimal"/>
      <w:lvlText w:val="%7."/>
      <w:lvlJc w:val="left"/>
      <w:pPr>
        <w:ind w:left="6098" w:hanging="360"/>
      </w:pPr>
    </w:lvl>
    <w:lvl w:ilvl="7" w:tplc="0C070019" w:tentative="1">
      <w:start w:val="1"/>
      <w:numFmt w:val="lowerLetter"/>
      <w:lvlText w:val="%8."/>
      <w:lvlJc w:val="left"/>
      <w:pPr>
        <w:ind w:left="6818" w:hanging="360"/>
      </w:pPr>
    </w:lvl>
    <w:lvl w:ilvl="8" w:tplc="0C07001B" w:tentative="1">
      <w:start w:val="1"/>
      <w:numFmt w:val="lowerRoman"/>
      <w:lvlText w:val="%9."/>
      <w:lvlJc w:val="right"/>
      <w:pPr>
        <w:ind w:left="7538" w:hanging="180"/>
      </w:pPr>
    </w:lvl>
  </w:abstractNum>
  <w:abstractNum w:abstractNumId="26" w15:restartNumberingAfterBreak="0">
    <w:nsid w:val="518F2BC4"/>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27" w15:restartNumberingAfterBreak="0">
    <w:nsid w:val="531F225E"/>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28" w15:restartNumberingAfterBreak="0">
    <w:nsid w:val="54563386"/>
    <w:multiLevelType w:val="multilevel"/>
    <w:tmpl w:val="1FE28E64"/>
    <w:numStyleLink w:val="CentralEuropeStandard"/>
  </w:abstractNum>
  <w:abstractNum w:abstractNumId="29" w15:restartNumberingAfterBreak="0">
    <w:nsid w:val="56C626F2"/>
    <w:multiLevelType w:val="multilevel"/>
    <w:tmpl w:val="8CCE1C36"/>
    <w:lvl w:ilvl="0">
      <w:start w:val="1"/>
      <w:numFmt w:val="decimal"/>
      <w:lvlText w:val="%1."/>
      <w:lvlJc w:val="left"/>
      <w:pPr>
        <w:ind w:left="284" w:hanging="284"/>
      </w:pPr>
      <w:rPr>
        <w:rFonts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0" w15:restartNumberingAfterBreak="0">
    <w:nsid w:val="59C11AFF"/>
    <w:multiLevelType w:val="multilevel"/>
    <w:tmpl w:val="1FE28E64"/>
    <w:numStyleLink w:val="CentralEuropeStandard"/>
  </w:abstractNum>
  <w:abstractNum w:abstractNumId="31" w15:restartNumberingAfterBreak="0">
    <w:nsid w:val="5F3E06F6"/>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2" w15:restartNumberingAfterBreak="0">
    <w:nsid w:val="604B6D4A"/>
    <w:multiLevelType w:val="multilevel"/>
    <w:tmpl w:val="1FE28E64"/>
    <w:numStyleLink w:val="CentralEuropeStandard"/>
  </w:abstractNum>
  <w:abstractNum w:abstractNumId="33" w15:restartNumberingAfterBreak="0">
    <w:nsid w:val="627D0F31"/>
    <w:multiLevelType w:val="multilevel"/>
    <w:tmpl w:val="1FE28E64"/>
    <w:numStyleLink w:val="CentralEuropeStandard"/>
  </w:abstractNum>
  <w:abstractNum w:abstractNumId="34" w15:restartNumberingAfterBreak="0">
    <w:nsid w:val="63BB48D0"/>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5" w15:restartNumberingAfterBreak="0">
    <w:nsid w:val="65617C76"/>
    <w:multiLevelType w:val="multilevel"/>
    <w:tmpl w:val="1FE28E64"/>
    <w:numStyleLink w:val="CentralEuropeStandard"/>
  </w:abstractNum>
  <w:abstractNum w:abstractNumId="36" w15:restartNumberingAfterBreak="0">
    <w:nsid w:val="67421FDA"/>
    <w:multiLevelType w:val="multilevel"/>
    <w:tmpl w:val="1FE28E64"/>
    <w:numStyleLink w:val="CentralEuropeStandard"/>
  </w:abstractNum>
  <w:abstractNum w:abstractNumId="3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8"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0" w15:restartNumberingAfterBreak="0">
    <w:nsid w:val="6E4A5423"/>
    <w:multiLevelType w:val="multilevel"/>
    <w:tmpl w:val="EA58F362"/>
    <w:numStyleLink w:val="Formatvorlage1"/>
  </w:abstractNum>
  <w:abstractNum w:abstractNumId="41"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2"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3" w15:restartNumberingAfterBreak="0">
    <w:nsid w:val="744E2383"/>
    <w:multiLevelType w:val="multilevel"/>
    <w:tmpl w:val="A4606672"/>
    <w:numStyleLink w:val="Formatvorlage2"/>
  </w:abstractNum>
  <w:abstractNum w:abstractNumId="44"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9B85DC1"/>
    <w:multiLevelType w:val="hybridMultilevel"/>
    <w:tmpl w:val="73D2D046"/>
    <w:lvl w:ilvl="0" w:tplc="11961190">
      <w:start w:val="1"/>
      <w:numFmt w:val="bullet"/>
      <w:pStyle w:val="Oznaenseznam"/>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6" w15:restartNumberingAfterBreak="0">
    <w:nsid w:val="7BC15C8A"/>
    <w:multiLevelType w:val="multilevel"/>
    <w:tmpl w:val="1FE28E64"/>
    <w:numStyleLink w:val="CentralEuropeStandard"/>
  </w:abstractNum>
  <w:abstractNum w:abstractNumId="47" w15:restartNumberingAfterBreak="0">
    <w:nsid w:val="7C4F253C"/>
    <w:multiLevelType w:val="multilevel"/>
    <w:tmpl w:val="A460667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8"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abstractNum w:abstractNumId="49" w15:restartNumberingAfterBreak="0">
    <w:nsid w:val="7E6B1B3C"/>
    <w:multiLevelType w:val="multilevel"/>
    <w:tmpl w:val="D89441EC"/>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Trebuchet MS" w:hAnsi="Trebuchet MS"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num w:numId="1">
    <w:abstractNumId w:val="41"/>
  </w:num>
  <w:num w:numId="2">
    <w:abstractNumId w:val="42"/>
  </w:num>
  <w:num w:numId="3">
    <w:abstractNumId w:val="1"/>
  </w:num>
  <w:num w:numId="4">
    <w:abstractNumId w:val="45"/>
  </w:num>
  <w:num w:numId="5">
    <w:abstractNumId w:val="37"/>
  </w:num>
  <w:num w:numId="6">
    <w:abstractNumId w:val="17"/>
  </w:num>
  <w:num w:numId="7">
    <w:abstractNumId w:val="20"/>
  </w:num>
  <w:num w:numId="8">
    <w:abstractNumId w:val="23"/>
  </w:num>
  <w:num w:numId="9">
    <w:abstractNumId w:val="2"/>
  </w:num>
  <w:num w:numId="10">
    <w:abstractNumId w:val="38"/>
  </w:num>
  <w:num w:numId="11">
    <w:abstractNumId w:val="21"/>
  </w:num>
  <w:num w:numId="12">
    <w:abstractNumId w:val="13"/>
  </w:num>
  <w:num w:numId="13">
    <w:abstractNumId w:val="16"/>
  </w:num>
  <w:num w:numId="14">
    <w:abstractNumId w:val="0"/>
  </w:num>
  <w:num w:numId="15">
    <w:abstractNumId w:val="18"/>
  </w:num>
  <w:num w:numId="16">
    <w:abstractNumId w:val="12"/>
  </w:num>
  <w:num w:numId="17">
    <w:abstractNumId w:val="15"/>
  </w:num>
  <w:num w:numId="18">
    <w:abstractNumId w:val="44"/>
  </w:num>
  <w:num w:numId="19">
    <w:abstractNumId w:val="3"/>
  </w:num>
  <w:num w:numId="20">
    <w:abstractNumId w:val="22"/>
  </w:num>
  <w:num w:numId="21">
    <w:abstractNumId w:val="34"/>
  </w:num>
  <w:num w:numId="22">
    <w:abstractNumId w:val="9"/>
  </w:num>
  <w:num w:numId="23">
    <w:abstractNumId w:val="48"/>
  </w:num>
  <w:num w:numId="24">
    <w:abstractNumId w:val="14"/>
  </w:num>
  <w:num w:numId="25">
    <w:abstractNumId w:val="19"/>
  </w:num>
  <w:num w:numId="26">
    <w:abstractNumId w:val="49"/>
  </w:num>
  <w:num w:numId="27">
    <w:abstractNumId w:val="26"/>
  </w:num>
  <w:num w:numId="28">
    <w:abstractNumId w:val="27"/>
  </w:num>
  <w:num w:numId="29">
    <w:abstractNumId w:val="8"/>
  </w:num>
  <w:num w:numId="30">
    <w:abstractNumId w:val="31"/>
  </w:num>
  <w:num w:numId="31">
    <w:abstractNumId w:val="10"/>
  </w:num>
  <w:num w:numId="32">
    <w:abstractNumId w:val="35"/>
  </w:num>
  <w:num w:numId="33">
    <w:abstractNumId w:val="36"/>
  </w:num>
  <w:num w:numId="34">
    <w:abstractNumId w:val="6"/>
  </w:num>
  <w:num w:numId="35">
    <w:abstractNumId w:val="33"/>
  </w:num>
  <w:num w:numId="36">
    <w:abstractNumId w:val="4"/>
  </w:num>
  <w:num w:numId="37">
    <w:abstractNumId w:val="46"/>
  </w:num>
  <w:num w:numId="38">
    <w:abstractNumId w:val="28"/>
  </w:num>
  <w:num w:numId="39">
    <w:abstractNumId w:val="24"/>
  </w:num>
  <w:num w:numId="40">
    <w:abstractNumId w:val="32"/>
  </w:num>
  <w:num w:numId="41">
    <w:abstractNumId w:val="7"/>
  </w:num>
  <w:num w:numId="42">
    <w:abstractNumId w:val="29"/>
  </w:num>
  <w:num w:numId="43">
    <w:abstractNumId w:val="11"/>
  </w:num>
  <w:num w:numId="44">
    <w:abstractNumId w:val="47"/>
  </w:num>
  <w:num w:numId="45">
    <w:abstractNumId w:val="30"/>
  </w:num>
  <w:num w:numId="46">
    <w:abstractNumId w:val="5"/>
  </w:num>
  <w:num w:numId="47">
    <w:abstractNumId w:val="39"/>
  </w:num>
  <w:num w:numId="48">
    <w:abstractNumId w:val="40"/>
  </w:num>
  <w:num w:numId="49">
    <w:abstractNumId w:val="43"/>
  </w:num>
  <w:num w:numId="5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4F0C"/>
    <w:rsid w:val="00095478"/>
    <w:rsid w:val="0009630C"/>
    <w:rsid w:val="00096C74"/>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3CF"/>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D08"/>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526"/>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AB"/>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2FBB"/>
    <w:rsid w:val="00213399"/>
    <w:rsid w:val="00213D7D"/>
    <w:rsid w:val="00214458"/>
    <w:rsid w:val="00216E68"/>
    <w:rsid w:val="00217039"/>
    <w:rsid w:val="00217511"/>
    <w:rsid w:val="00217E5B"/>
    <w:rsid w:val="002200AE"/>
    <w:rsid w:val="00221473"/>
    <w:rsid w:val="00221669"/>
    <w:rsid w:val="002216A5"/>
    <w:rsid w:val="00221C12"/>
    <w:rsid w:val="00221C63"/>
    <w:rsid w:val="0022238D"/>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147"/>
    <w:rsid w:val="00253DB5"/>
    <w:rsid w:val="00253E67"/>
    <w:rsid w:val="002549CC"/>
    <w:rsid w:val="00254BA7"/>
    <w:rsid w:val="00254D22"/>
    <w:rsid w:val="00254D2D"/>
    <w:rsid w:val="00254F07"/>
    <w:rsid w:val="00255574"/>
    <w:rsid w:val="00255CB2"/>
    <w:rsid w:val="0025633A"/>
    <w:rsid w:val="0026048F"/>
    <w:rsid w:val="002621A5"/>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D7F45"/>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4B"/>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3BC"/>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2B5"/>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6A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13EA"/>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4F3"/>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4C6"/>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289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3AF8"/>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79F"/>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52F1"/>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44D"/>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A85"/>
    <w:rsid w:val="00A34B77"/>
    <w:rsid w:val="00A350E1"/>
    <w:rsid w:val="00A35253"/>
    <w:rsid w:val="00A35723"/>
    <w:rsid w:val="00A3705C"/>
    <w:rsid w:val="00A4128F"/>
    <w:rsid w:val="00A41F84"/>
    <w:rsid w:val="00A43416"/>
    <w:rsid w:val="00A43DD4"/>
    <w:rsid w:val="00A448D9"/>
    <w:rsid w:val="00A44A19"/>
    <w:rsid w:val="00A44D8C"/>
    <w:rsid w:val="00A45C23"/>
    <w:rsid w:val="00A46909"/>
    <w:rsid w:val="00A46DE2"/>
    <w:rsid w:val="00A47012"/>
    <w:rsid w:val="00A50C08"/>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2AF7"/>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377"/>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721"/>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1BE"/>
    <w:rsid w:val="00BB72F4"/>
    <w:rsid w:val="00BB77B1"/>
    <w:rsid w:val="00BC002B"/>
    <w:rsid w:val="00BC01DC"/>
    <w:rsid w:val="00BC0602"/>
    <w:rsid w:val="00BC14D7"/>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027"/>
    <w:rsid w:val="00BF24B4"/>
    <w:rsid w:val="00BF4526"/>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3F9"/>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57D52"/>
    <w:rsid w:val="00C6127F"/>
    <w:rsid w:val="00C625C9"/>
    <w:rsid w:val="00C62CDD"/>
    <w:rsid w:val="00C63209"/>
    <w:rsid w:val="00C6428E"/>
    <w:rsid w:val="00C6453C"/>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071B"/>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12DF"/>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A2C"/>
    <w:rsid w:val="00D87F80"/>
    <w:rsid w:val="00D87FDB"/>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E0C"/>
    <w:rsid w:val="00DA1CAE"/>
    <w:rsid w:val="00DA32DC"/>
    <w:rsid w:val="00DA3BF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469"/>
    <w:rsid w:val="00DC05A9"/>
    <w:rsid w:val="00DC060D"/>
    <w:rsid w:val="00DC0E0B"/>
    <w:rsid w:val="00DC0FBE"/>
    <w:rsid w:val="00DC226A"/>
    <w:rsid w:val="00DC37FB"/>
    <w:rsid w:val="00DC3F9C"/>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E7F63"/>
    <w:rsid w:val="00DF0300"/>
    <w:rsid w:val="00DF064B"/>
    <w:rsid w:val="00DF06E9"/>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101D"/>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741E"/>
    <w:rsid w:val="00ED7DCC"/>
    <w:rsid w:val="00EE0047"/>
    <w:rsid w:val="00EE035D"/>
    <w:rsid w:val="00EE0D4F"/>
    <w:rsid w:val="00EE1191"/>
    <w:rsid w:val="00EE15E3"/>
    <w:rsid w:val="00EE1909"/>
    <w:rsid w:val="00EE213B"/>
    <w:rsid w:val="00EE2947"/>
    <w:rsid w:val="00EE35A0"/>
    <w:rsid w:val="00EE64DD"/>
    <w:rsid w:val="00EE66FD"/>
    <w:rsid w:val="00EE6A6B"/>
    <w:rsid w:val="00EE6CCF"/>
    <w:rsid w:val="00EF052F"/>
    <w:rsid w:val="00EF151B"/>
    <w:rsid w:val="00EF1874"/>
    <w:rsid w:val="00EF1EFB"/>
    <w:rsid w:val="00EF3217"/>
    <w:rsid w:val="00EF37AF"/>
    <w:rsid w:val="00EF4DD7"/>
    <w:rsid w:val="00EF4DE8"/>
    <w:rsid w:val="00EF6EE4"/>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12D3"/>
    <w:rsid w:val="00F116A6"/>
    <w:rsid w:val="00F11CE9"/>
    <w:rsid w:val="00F124CA"/>
    <w:rsid w:val="00F12654"/>
    <w:rsid w:val="00F13A42"/>
    <w:rsid w:val="00F13CA1"/>
    <w:rsid w:val="00F1513D"/>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DD5"/>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C83"/>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240"/>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51C4"/>
    <w:rsid w:val="00FD6216"/>
    <w:rsid w:val="00FD644C"/>
    <w:rsid w:val="00FD7D47"/>
    <w:rsid w:val="00FD7EBB"/>
    <w:rsid w:val="00FE02CB"/>
    <w:rsid w:val="00FE1611"/>
    <w:rsid w:val="00FE1CB9"/>
    <w:rsid w:val="00FE1FD9"/>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1A1D1E"/>
  <w15:docId w15:val="{A16A9EA3-2EAB-48A3-9561-33DA5FC7E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7">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rsid w:val="0047724A"/>
    <w:pPr>
      <w:spacing w:before="120" w:line="276" w:lineRule="auto"/>
      <w:ind w:left="1418" w:right="339"/>
      <w:jc w:val="both"/>
    </w:pPr>
  </w:style>
  <w:style w:type="paragraph" w:styleId="Naslov1">
    <w:name w:val="heading 1"/>
    <w:basedOn w:val="Navaden"/>
    <w:next w:val="Navaden"/>
    <w:link w:val="Naslov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slov2">
    <w:name w:val="heading 2"/>
    <w:basedOn w:val="Navaden"/>
    <w:next w:val="Navaden"/>
    <w:link w:val="Naslov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slov3">
    <w:name w:val="heading 3"/>
    <w:basedOn w:val="Navaden"/>
    <w:next w:val="Navaden"/>
    <w:link w:val="Naslov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slov4">
    <w:name w:val="heading 4"/>
    <w:basedOn w:val="Navaden"/>
    <w:next w:val="Navaden"/>
    <w:pPr>
      <w:keepNext/>
      <w:outlineLvl w:val="3"/>
    </w:pPr>
    <w:rPr>
      <w:rFonts w:ascii="Verdana" w:hAnsi="Verdana"/>
      <w:b/>
      <w:bCs/>
    </w:rPr>
  </w:style>
  <w:style w:type="paragraph" w:styleId="Naslov5">
    <w:name w:val="heading 5"/>
    <w:basedOn w:val="Navaden"/>
    <w:next w:val="Navaden"/>
    <w:pPr>
      <w:numPr>
        <w:ilvl w:val="4"/>
        <w:numId w:val="2"/>
      </w:numPr>
      <w:spacing w:before="240" w:after="60"/>
      <w:outlineLvl w:val="4"/>
    </w:pPr>
    <w:rPr>
      <w:rFonts w:ascii="Verdana" w:hAnsi="Verdana"/>
      <w:b/>
      <w:bCs/>
      <w:i/>
      <w:iCs/>
      <w:szCs w:val="26"/>
    </w:rPr>
  </w:style>
  <w:style w:type="paragraph" w:styleId="Naslov6">
    <w:name w:val="heading 6"/>
    <w:basedOn w:val="Navaden"/>
    <w:next w:val="Navaden"/>
    <w:pPr>
      <w:numPr>
        <w:ilvl w:val="5"/>
        <w:numId w:val="2"/>
      </w:numPr>
      <w:spacing w:before="240" w:after="60"/>
      <w:outlineLvl w:val="5"/>
    </w:pPr>
    <w:rPr>
      <w:rFonts w:ascii="Verdana" w:hAnsi="Verdana"/>
      <w:b/>
      <w:bCs/>
    </w:rPr>
  </w:style>
  <w:style w:type="paragraph" w:styleId="Naslov7">
    <w:name w:val="heading 7"/>
    <w:basedOn w:val="Navaden"/>
    <w:next w:val="Navaden"/>
    <w:pPr>
      <w:numPr>
        <w:ilvl w:val="6"/>
        <w:numId w:val="2"/>
      </w:numPr>
      <w:spacing w:before="240" w:after="60"/>
      <w:outlineLvl w:val="6"/>
    </w:pPr>
    <w:rPr>
      <w:rFonts w:ascii="Verdana" w:hAnsi="Verdana"/>
    </w:rPr>
  </w:style>
  <w:style w:type="paragraph" w:styleId="Naslov8">
    <w:name w:val="heading 8"/>
    <w:basedOn w:val="Navaden"/>
    <w:next w:val="Navaden"/>
    <w:pPr>
      <w:numPr>
        <w:ilvl w:val="7"/>
        <w:numId w:val="2"/>
      </w:numPr>
      <w:spacing w:before="240" w:after="60"/>
      <w:outlineLvl w:val="7"/>
    </w:pPr>
    <w:rPr>
      <w:rFonts w:ascii="Verdana" w:hAnsi="Verdana"/>
      <w:i/>
      <w:iCs/>
    </w:rPr>
  </w:style>
  <w:style w:type="paragraph" w:styleId="Naslov9">
    <w:name w:val="heading 9"/>
    <w:basedOn w:val="Navaden"/>
    <w:next w:val="Navaden"/>
    <w:pPr>
      <w:numPr>
        <w:ilvl w:val="8"/>
        <w:numId w:val="2"/>
      </w:numPr>
      <w:spacing w:before="240" w:after="60"/>
      <w:outlineLvl w:val="8"/>
    </w:pPr>
    <w:rPr>
      <w:rFonts w:ascii="Verdana" w:hAnsi="Verdana"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pPr>
      <w:tabs>
        <w:tab w:val="center" w:pos="4536"/>
        <w:tab w:val="right" w:pos="9072"/>
      </w:tabs>
    </w:pPr>
    <w:rPr>
      <w:rFonts w:ascii="Verdana" w:hAnsi="Verdana"/>
      <w:sz w:val="16"/>
    </w:rPr>
  </w:style>
  <w:style w:type="paragraph" w:styleId="Noga">
    <w:name w:val="footer"/>
    <w:basedOn w:val="Navaden"/>
    <w:link w:val="NogaZnak"/>
    <w:uiPriority w:val="99"/>
    <w:pPr>
      <w:tabs>
        <w:tab w:val="center" w:pos="4536"/>
        <w:tab w:val="right" w:pos="9072"/>
      </w:tabs>
    </w:pPr>
    <w:rPr>
      <w:rFonts w:ascii="Verdana" w:hAnsi="Verdana"/>
      <w:noProof/>
      <w:sz w:val="16"/>
    </w:rPr>
  </w:style>
  <w:style w:type="character" w:styleId="tevilkastrani">
    <w:name w:val="page number"/>
    <w:basedOn w:val="Privzetapisavaodstavka"/>
    <w:semiHidden/>
    <w:rPr>
      <w:rFonts w:ascii="Verdana" w:hAnsi="Verdana"/>
      <w:sz w:val="20"/>
    </w:rPr>
  </w:style>
  <w:style w:type="paragraph" w:styleId="Telobesedila-zamik">
    <w:name w:val="Body Text Indent"/>
    <w:basedOn w:val="Navaden"/>
    <w:semiHidden/>
    <w:pPr>
      <w:spacing w:before="60" w:after="60"/>
      <w:ind w:left="720"/>
    </w:pPr>
    <w:rPr>
      <w:rFonts w:ascii="Verdana" w:hAnsi="Verdana"/>
    </w:rPr>
  </w:style>
  <w:style w:type="paragraph" w:styleId="Telobesedila">
    <w:name w:val="Body Text"/>
    <w:basedOn w:val="Navaden"/>
    <w:link w:val="TelobesedilaZnak"/>
    <w:semiHidden/>
    <w:pPr>
      <w:spacing w:after="120"/>
    </w:pPr>
    <w:rPr>
      <w:rFonts w:ascii="Verdana" w:hAnsi="Verdana"/>
    </w:rPr>
  </w:style>
  <w:style w:type="paragraph" w:styleId="Besedilooblaka">
    <w:name w:val="Balloon Text"/>
    <w:basedOn w:val="Navaden"/>
    <w:link w:val="BesedilooblakaZnak"/>
    <w:uiPriority w:val="99"/>
    <w:semiHidden/>
    <w:unhideWhenUsed/>
    <w:rsid w:val="00E5766A"/>
    <w:rPr>
      <w:rFonts w:ascii="Tahoma" w:hAnsi="Tahoma" w:cs="Tahoma"/>
      <w:sz w:val="16"/>
      <w:szCs w:val="16"/>
    </w:rPr>
  </w:style>
  <w:style w:type="paragraph" w:customStyle="1" w:styleId="Bullet1">
    <w:name w:val="Bullet1"/>
    <w:basedOn w:val="Navaden"/>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esedilooblakaZnak">
    <w:name w:val="Besedilo oblačka Znak"/>
    <w:basedOn w:val="Privzetapisavaodstavka"/>
    <w:link w:val="Besedilooblaka"/>
    <w:uiPriority w:val="99"/>
    <w:semiHidden/>
    <w:rsid w:val="00E5766A"/>
    <w:rPr>
      <w:rFonts w:ascii="Tahoma" w:hAnsi="Tahoma" w:cs="Tahoma"/>
      <w:sz w:val="16"/>
      <w:szCs w:val="16"/>
      <w:lang w:val="de-AT" w:eastAsia="de-DE"/>
    </w:rPr>
  </w:style>
  <w:style w:type="character" w:styleId="Pripombasklic">
    <w:name w:val="annotation reference"/>
    <w:basedOn w:val="Privzetapisavaodstavka"/>
    <w:uiPriority w:val="99"/>
    <w:semiHidden/>
    <w:unhideWhenUsed/>
    <w:rsid w:val="0023224E"/>
    <w:rPr>
      <w:sz w:val="16"/>
      <w:szCs w:val="16"/>
    </w:rPr>
  </w:style>
  <w:style w:type="paragraph" w:styleId="Pripombabesedilo">
    <w:name w:val="annotation text"/>
    <w:basedOn w:val="Navaden"/>
    <w:link w:val="PripombabesediloZnak"/>
    <w:uiPriority w:val="99"/>
    <w:unhideWhenUsed/>
    <w:rsid w:val="0023224E"/>
    <w:pPr>
      <w:spacing w:line="240" w:lineRule="auto"/>
    </w:pPr>
  </w:style>
  <w:style w:type="character" w:customStyle="1" w:styleId="PripombabesediloZnak">
    <w:name w:val="Pripomba – besedilo Znak"/>
    <w:basedOn w:val="Privzetapisavaodstavka"/>
    <w:link w:val="Pripombabesedilo"/>
    <w:uiPriority w:val="99"/>
    <w:rsid w:val="0023224E"/>
    <w:rPr>
      <w:rFonts w:ascii="Calibri" w:eastAsia="Calibri" w:hAnsi="Calibri"/>
      <w:lang w:val="de-AT" w:eastAsia="en-US"/>
    </w:rPr>
  </w:style>
  <w:style w:type="paragraph" w:styleId="Zadevapripombe">
    <w:name w:val="annotation subject"/>
    <w:basedOn w:val="Pripombabesedilo"/>
    <w:next w:val="Pripombabesedilo"/>
    <w:link w:val="ZadevapripombeZnak"/>
    <w:uiPriority w:val="99"/>
    <w:semiHidden/>
    <w:unhideWhenUsed/>
    <w:rsid w:val="0023224E"/>
    <w:rPr>
      <w:b/>
      <w:bCs/>
    </w:rPr>
  </w:style>
  <w:style w:type="character" w:customStyle="1" w:styleId="ZadevapripombeZnak">
    <w:name w:val="Zadeva pripombe Znak"/>
    <w:basedOn w:val="PripombabesediloZnak"/>
    <w:link w:val="Zadevapripombe"/>
    <w:uiPriority w:val="99"/>
    <w:semiHidden/>
    <w:rsid w:val="0023224E"/>
    <w:rPr>
      <w:rFonts w:ascii="Calibri" w:eastAsia="Calibri" w:hAnsi="Calibri"/>
      <w:b/>
      <w:bCs/>
      <w:lang w:val="de-AT" w:eastAsia="en-US"/>
    </w:rPr>
  </w:style>
  <w:style w:type="paragraph" w:styleId="Odstavekseznama">
    <w:name w:val="List Paragraph"/>
    <w:basedOn w:val="Navaden"/>
    <w:link w:val="OdstavekseznamaZnak"/>
    <w:uiPriority w:val="34"/>
    <w:rsid w:val="00063D14"/>
    <w:pPr>
      <w:ind w:left="720"/>
      <w:contextualSpacing/>
    </w:pPr>
  </w:style>
  <w:style w:type="character" w:styleId="Hiperpovezava">
    <w:name w:val="Hyperlink"/>
    <w:basedOn w:val="Privzetapisavaodstavk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avadensplet">
    <w:name w:val="Normal (Web)"/>
    <w:basedOn w:val="Navaden"/>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Privzetapisavaodstavka"/>
    <w:rsid w:val="0037093F"/>
  </w:style>
  <w:style w:type="table" w:styleId="Svetelseznampoudarek1">
    <w:name w:val="Light List Accent 1"/>
    <w:basedOn w:val="Navadnatabela"/>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avade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avaden"/>
    <w:rsid w:val="00A350E1"/>
    <w:pPr>
      <w:spacing w:before="40" w:after="40" w:line="240" w:lineRule="auto"/>
    </w:pPr>
    <w:rPr>
      <w:rFonts w:ascii="Arial Narrow" w:hAnsi="Arial Narrow" w:cs="Arial"/>
      <w:lang w:eastAsia="de-DE"/>
    </w:rPr>
  </w:style>
  <w:style w:type="character" w:styleId="SledenaHiperpovezava">
    <w:name w:val="FollowedHyperlink"/>
    <w:basedOn w:val="Privzetapisavaodstavka"/>
    <w:uiPriority w:val="99"/>
    <w:semiHidden/>
    <w:unhideWhenUsed/>
    <w:rsid w:val="005E328C"/>
    <w:rPr>
      <w:color w:val="BFBFBF" w:themeColor="followedHyperlink"/>
      <w:u w:val="single"/>
    </w:rPr>
  </w:style>
  <w:style w:type="paragraph" w:styleId="Revizija">
    <w:name w:val="Revision"/>
    <w:hidden/>
    <w:uiPriority w:val="99"/>
    <w:semiHidden/>
    <w:rsid w:val="00F842CD"/>
    <w:rPr>
      <w:rFonts w:ascii="Calibri" w:eastAsia="Calibri" w:hAnsi="Calibri"/>
      <w:sz w:val="22"/>
      <w:szCs w:val="22"/>
    </w:rPr>
  </w:style>
  <w:style w:type="table" w:styleId="Tabelamrea">
    <w:name w:val="Table Grid"/>
    <w:basedOn w:val="Navadnatabela"/>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5">
    <w:name w:val="Light List Accent 5"/>
    <w:basedOn w:val="Navadnatabela"/>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Svetelseznampoudarek4">
    <w:name w:val="Light List Accent 4"/>
    <w:basedOn w:val="Navadnatabela"/>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vetlosenenjepoudarek5">
    <w:name w:val="Light Shading Accent 5"/>
    <w:basedOn w:val="Navadnatabela"/>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Srednjamrea3poudarek1">
    <w:name w:val="Medium Grid 3 Accent 1"/>
    <w:basedOn w:val="Navadnatabela"/>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Oznaenseznam"/>
    <w:rsid w:val="0093166C"/>
    <w:pPr>
      <w:numPr>
        <w:numId w:val="0"/>
      </w:numPr>
      <w:spacing w:after="240" w:line="280" w:lineRule="atLeast"/>
      <w:ind w:left="284" w:hanging="284"/>
    </w:pPr>
    <w:rPr>
      <w:rFonts w:ascii="Arial" w:hAnsi="Arial"/>
      <w:lang w:eastAsia="de-DE"/>
    </w:rPr>
  </w:style>
  <w:style w:type="paragraph" w:styleId="Oznaenseznam">
    <w:name w:val="List Bullet"/>
    <w:basedOn w:val="Navaden"/>
    <w:uiPriority w:val="99"/>
    <w:semiHidden/>
    <w:unhideWhenUsed/>
    <w:rsid w:val="0093166C"/>
    <w:pPr>
      <w:numPr>
        <w:numId w:val="4"/>
      </w:numPr>
      <w:contextualSpacing/>
    </w:pPr>
  </w:style>
  <w:style w:type="paragraph" w:styleId="Naslov">
    <w:name w:val="Title"/>
    <w:basedOn w:val="Navaden"/>
    <w:next w:val="Navaden"/>
    <w:link w:val="Naslov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NaslovZnak">
    <w:name w:val="Naslov Znak"/>
    <w:basedOn w:val="Privzetapisavaodstavka"/>
    <w:link w:val="Naslov"/>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slov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slov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slov1Znak">
    <w:name w:val="Naslov 1 Znak"/>
    <w:basedOn w:val="Privzetapisavaodstavka"/>
    <w:link w:val="Naslov1"/>
    <w:rsid w:val="00877C37"/>
    <w:rPr>
      <w:rFonts w:ascii="Arial Rounded MT Bold" w:hAnsi="Arial Rounded MT Bold"/>
      <w:b/>
      <w:bCs/>
      <w:color w:val="7D8B8A" w:themeColor="accent1"/>
      <w:sz w:val="28"/>
    </w:rPr>
  </w:style>
  <w:style w:type="character" w:customStyle="1" w:styleId="CommsHeading1Char">
    <w:name w:val="Comms Heading 1 Char"/>
    <w:basedOn w:val="Naslov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slov3"/>
    <w:link w:val="CommsHeading111Char"/>
    <w:rsid w:val="007E62DC"/>
    <w:pPr>
      <w:numPr>
        <w:numId w:val="0"/>
      </w:numPr>
      <w:ind w:left="1789" w:hanging="360"/>
    </w:pPr>
    <w:rPr>
      <w:rFonts w:ascii="Trebuchet MS" w:hAnsi="Trebuchet MS"/>
      <w:color w:val="5D6867" w:themeColor="accent1" w:themeShade="BF"/>
    </w:rPr>
  </w:style>
  <w:style w:type="character" w:customStyle="1" w:styleId="Naslov2Znak">
    <w:name w:val="Naslov 2 Znak"/>
    <w:basedOn w:val="Privzetapisavaodstavka"/>
    <w:link w:val="Naslov2"/>
    <w:rsid w:val="00877C37"/>
    <w:rPr>
      <w:rFonts w:ascii="Arial Rounded MT Bold" w:hAnsi="Arial Rounded MT Bold"/>
      <w:b/>
      <w:bCs/>
      <w:iCs/>
      <w:color w:val="7D8B8A" w:themeColor="accent1"/>
      <w:sz w:val="24"/>
    </w:rPr>
  </w:style>
  <w:style w:type="character" w:customStyle="1" w:styleId="CommsHeading11Char">
    <w:name w:val="Comms Heading 1.1 Char"/>
    <w:basedOn w:val="Naslov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avaden"/>
    <w:link w:val="CommsTextNormalChar"/>
    <w:rsid w:val="007E62DC"/>
  </w:style>
  <w:style w:type="character" w:customStyle="1" w:styleId="Naslov3Znak">
    <w:name w:val="Naslov 3 Znak"/>
    <w:basedOn w:val="Privzetapisavaodstavka"/>
    <w:link w:val="Naslov3"/>
    <w:rsid w:val="00877C37"/>
    <w:rPr>
      <w:rFonts w:ascii="Arial Rounded MT Bold" w:hAnsi="Arial Rounded MT Bold"/>
      <w:b/>
      <w:iCs/>
      <w:color w:val="7D8B8A" w:themeColor="accent1"/>
    </w:rPr>
  </w:style>
  <w:style w:type="character" w:customStyle="1" w:styleId="CommsHeading111Char">
    <w:name w:val="Comms Heading 1.1.1 Char"/>
    <w:basedOn w:val="Naslov3Znak"/>
    <w:link w:val="CommsHeading111"/>
    <w:rsid w:val="007E62DC"/>
    <w:rPr>
      <w:rFonts w:ascii="Trebuchet MS" w:eastAsia="Calibri" w:hAnsi="Trebuchet MS"/>
      <w:b/>
      <w:iCs/>
      <w:color w:val="5D6867" w:themeColor="accent1" w:themeShade="BF"/>
    </w:rPr>
  </w:style>
  <w:style w:type="paragraph" w:styleId="NaslovTOC">
    <w:name w:val="TOC Heading"/>
    <w:basedOn w:val="Naslov1"/>
    <w:next w:val="Navaden"/>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Privzetapisavaodstavka"/>
    <w:link w:val="CommsTextNormal"/>
    <w:rsid w:val="007E62DC"/>
    <w:rPr>
      <w:rFonts w:ascii="Trebuchet MS" w:eastAsia="Calibri" w:hAnsi="Trebuchet MS"/>
      <w:lang w:val="de-AT" w:eastAsia="en-US"/>
    </w:rPr>
  </w:style>
  <w:style w:type="paragraph" w:styleId="Kazalovsebine1">
    <w:name w:val="toc 1"/>
    <w:basedOn w:val="Navaden"/>
    <w:next w:val="Navaden"/>
    <w:autoRedefine/>
    <w:uiPriority w:val="39"/>
    <w:unhideWhenUsed/>
    <w:rsid w:val="00051D5A"/>
    <w:pPr>
      <w:tabs>
        <w:tab w:val="left" w:pos="284"/>
        <w:tab w:val="right" w:leader="dot" w:pos="8505"/>
      </w:tabs>
      <w:spacing w:line="240" w:lineRule="auto"/>
    </w:pPr>
    <w:rPr>
      <w:b/>
      <w:bCs/>
      <w:caps/>
      <w:noProof/>
    </w:rPr>
  </w:style>
  <w:style w:type="paragraph" w:styleId="Kazalovsebine2">
    <w:name w:val="toc 2"/>
    <w:basedOn w:val="Navaden"/>
    <w:next w:val="Navaden"/>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avaden"/>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rezrazmikov"/>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rezrazmikov">
    <w:name w:val="No Spacing"/>
    <w:link w:val="BrezrazmikovZnak"/>
    <w:uiPriority w:val="1"/>
    <w:rsid w:val="007E62DC"/>
    <w:rPr>
      <w:rFonts w:ascii="Calibri" w:eastAsia="Calibri" w:hAnsi="Calibri"/>
      <w:sz w:val="22"/>
      <w:szCs w:val="22"/>
    </w:rPr>
  </w:style>
  <w:style w:type="paragraph" w:styleId="Kazalovsebine3">
    <w:name w:val="toc 3"/>
    <w:basedOn w:val="Navaden"/>
    <w:next w:val="Navaden"/>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Sprotnaopomba-besedilo">
    <w:name w:val="footnote text"/>
    <w:aliases w:val="Footnote"/>
    <w:link w:val="Sprotnaopomba-besediloZnak"/>
    <w:uiPriority w:val="99"/>
    <w:unhideWhenUsed/>
    <w:qFormat/>
    <w:rsid w:val="00115498"/>
    <w:rPr>
      <w:rFonts w:ascii="Trebuchet MS" w:hAnsi="Trebuchet MS"/>
      <w:color w:val="A6A7A9" w:themeColor="accent5"/>
      <w:sz w:val="14"/>
    </w:rPr>
  </w:style>
  <w:style w:type="character" w:customStyle="1" w:styleId="Sprotnaopomba-besediloZnak">
    <w:name w:val="Sprotna opomba - besedilo Znak"/>
    <w:aliases w:val="Footnote Znak"/>
    <w:basedOn w:val="Privzetapisavaodstavka"/>
    <w:link w:val="Sprotnaopomba-besedilo"/>
    <w:uiPriority w:val="99"/>
    <w:rsid w:val="00115498"/>
    <w:rPr>
      <w:rFonts w:ascii="Trebuchet MS" w:hAnsi="Trebuchet MS"/>
      <w:color w:val="A6A7A9" w:themeColor="accent5"/>
      <w:sz w:val="14"/>
    </w:rPr>
  </w:style>
  <w:style w:type="character" w:styleId="Sprotnaopomba-sklic">
    <w:name w:val="footnote reference"/>
    <w:aliases w:val="ESPON Footnote No"/>
    <w:basedOn w:val="Privzetapisavaodstavka"/>
    <w:uiPriority w:val="99"/>
    <w:semiHidden/>
    <w:unhideWhenUsed/>
    <w:rsid w:val="007E62DC"/>
    <w:rPr>
      <w:vertAlign w:val="superscript"/>
    </w:rPr>
  </w:style>
  <w:style w:type="paragraph" w:styleId="Kazalovsebine4">
    <w:name w:val="toc 4"/>
    <w:basedOn w:val="Navaden"/>
    <w:next w:val="Navaden"/>
    <w:autoRedefine/>
    <w:uiPriority w:val="39"/>
    <w:unhideWhenUsed/>
    <w:rsid w:val="006A676A"/>
    <w:pPr>
      <w:ind w:left="440"/>
    </w:pPr>
    <w:rPr>
      <w:rFonts w:asciiTheme="minorHAnsi" w:hAnsiTheme="minorHAnsi"/>
    </w:rPr>
  </w:style>
  <w:style w:type="paragraph" w:styleId="Kazalovsebine5">
    <w:name w:val="toc 5"/>
    <w:basedOn w:val="Navaden"/>
    <w:next w:val="Navaden"/>
    <w:autoRedefine/>
    <w:uiPriority w:val="39"/>
    <w:unhideWhenUsed/>
    <w:rsid w:val="006A676A"/>
    <w:pPr>
      <w:ind w:left="660"/>
    </w:pPr>
    <w:rPr>
      <w:rFonts w:asciiTheme="minorHAnsi" w:hAnsiTheme="minorHAnsi"/>
    </w:rPr>
  </w:style>
  <w:style w:type="paragraph" w:styleId="Kazalovsebine6">
    <w:name w:val="toc 6"/>
    <w:basedOn w:val="Navaden"/>
    <w:next w:val="Navaden"/>
    <w:autoRedefine/>
    <w:uiPriority w:val="39"/>
    <w:unhideWhenUsed/>
    <w:rsid w:val="006A676A"/>
    <w:pPr>
      <w:ind w:left="880"/>
    </w:pPr>
    <w:rPr>
      <w:rFonts w:asciiTheme="minorHAnsi" w:hAnsiTheme="minorHAnsi"/>
    </w:rPr>
  </w:style>
  <w:style w:type="paragraph" w:styleId="Kazalovsebine7">
    <w:name w:val="toc 7"/>
    <w:basedOn w:val="Navaden"/>
    <w:next w:val="Navaden"/>
    <w:autoRedefine/>
    <w:uiPriority w:val="39"/>
    <w:unhideWhenUsed/>
    <w:rsid w:val="006A676A"/>
    <w:pPr>
      <w:ind w:left="1100"/>
    </w:pPr>
    <w:rPr>
      <w:rFonts w:asciiTheme="minorHAnsi" w:hAnsiTheme="minorHAnsi"/>
    </w:rPr>
  </w:style>
  <w:style w:type="paragraph" w:styleId="Kazalovsebine8">
    <w:name w:val="toc 8"/>
    <w:basedOn w:val="Navaden"/>
    <w:next w:val="Navaden"/>
    <w:autoRedefine/>
    <w:uiPriority w:val="39"/>
    <w:unhideWhenUsed/>
    <w:rsid w:val="006A676A"/>
    <w:pPr>
      <w:ind w:left="1320"/>
    </w:pPr>
    <w:rPr>
      <w:rFonts w:asciiTheme="minorHAnsi" w:hAnsiTheme="minorHAnsi"/>
    </w:rPr>
  </w:style>
  <w:style w:type="paragraph" w:styleId="Kazalovsebine9">
    <w:name w:val="toc 9"/>
    <w:basedOn w:val="Navaden"/>
    <w:next w:val="Navaden"/>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rednjesenenje1poudarek1">
    <w:name w:val="Medium Shading 1 Accent 1"/>
    <w:basedOn w:val="Navadnatabela"/>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lobesedilaZnak">
    <w:name w:val="Telo besedila Znak"/>
    <w:basedOn w:val="Privzetapisavaodstavka"/>
    <w:link w:val="Telobesedila"/>
    <w:semiHidden/>
    <w:rsid w:val="0085654A"/>
    <w:rPr>
      <w:rFonts w:ascii="Verdana" w:eastAsia="Calibri" w:hAnsi="Verdana"/>
      <w:szCs w:val="22"/>
    </w:rPr>
  </w:style>
  <w:style w:type="character" w:customStyle="1" w:styleId="OdstavekseznamaZnak">
    <w:name w:val="Odstavek seznama Znak"/>
    <w:link w:val="Odstavekseznama"/>
    <w:uiPriority w:val="34"/>
    <w:rsid w:val="00DC05A9"/>
    <w:rPr>
      <w:rFonts w:ascii="Calibri" w:eastAsia="Calibri" w:hAnsi="Calibri"/>
      <w:sz w:val="22"/>
      <w:szCs w:val="22"/>
      <w:lang w:val="de-AT"/>
    </w:rPr>
  </w:style>
  <w:style w:type="paragraph" w:styleId="Telobesedila3">
    <w:name w:val="Body Text 3"/>
    <w:basedOn w:val="Navaden"/>
    <w:link w:val="Telobesedila3Znak"/>
    <w:uiPriority w:val="99"/>
    <w:unhideWhenUsed/>
    <w:rsid w:val="00515CB1"/>
    <w:pPr>
      <w:spacing w:after="120"/>
    </w:pPr>
    <w:rPr>
      <w:sz w:val="16"/>
      <w:szCs w:val="16"/>
    </w:rPr>
  </w:style>
  <w:style w:type="character" w:customStyle="1" w:styleId="Telobesedila3Znak">
    <w:name w:val="Telo besedila 3 Znak"/>
    <w:basedOn w:val="Privzetapisavaodstavka"/>
    <w:link w:val="Telobesedila3"/>
    <w:uiPriority w:val="99"/>
    <w:rsid w:val="00515CB1"/>
    <w:rPr>
      <w:rFonts w:ascii="Calibri" w:eastAsia="Calibri" w:hAnsi="Calibri"/>
      <w:sz w:val="16"/>
      <w:szCs w:val="16"/>
      <w:lang w:val="de-AT"/>
    </w:rPr>
  </w:style>
  <w:style w:type="paragraph" w:styleId="Napis">
    <w:name w:val="caption"/>
    <w:basedOn w:val="Navaden"/>
    <w:next w:val="Navaden"/>
    <w:rsid w:val="003C39D2"/>
    <w:pPr>
      <w:keepNext/>
      <w:spacing w:after="120" w:line="240" w:lineRule="auto"/>
    </w:pPr>
    <w:rPr>
      <w:b/>
      <w:color w:val="000080"/>
      <w:szCs w:val="18"/>
    </w:rPr>
  </w:style>
  <w:style w:type="character" w:customStyle="1" w:styleId="GlavaZnak">
    <w:name w:val="Glava Znak"/>
    <w:basedOn w:val="Privzetapisavaodstavka"/>
    <w:link w:val="Glava"/>
    <w:uiPriority w:val="99"/>
    <w:rsid w:val="00A0196F"/>
    <w:rPr>
      <w:rFonts w:ascii="Verdana" w:eastAsia="Calibri" w:hAnsi="Verdana"/>
      <w:sz w:val="16"/>
      <w:szCs w:val="22"/>
      <w:lang w:val="de-AT"/>
    </w:rPr>
  </w:style>
  <w:style w:type="character" w:customStyle="1" w:styleId="NogaZnak">
    <w:name w:val="Noga Znak"/>
    <w:basedOn w:val="Privzetapisavaodstavka"/>
    <w:link w:val="Noga"/>
    <w:uiPriority w:val="99"/>
    <w:rsid w:val="00311673"/>
    <w:rPr>
      <w:rFonts w:ascii="Verdana" w:eastAsia="Calibri" w:hAnsi="Verdana"/>
      <w:noProof/>
      <w:sz w:val="16"/>
      <w:szCs w:val="22"/>
    </w:rPr>
  </w:style>
  <w:style w:type="paragraph" w:customStyle="1" w:styleId="bulletpoints">
    <w:name w:val="bulletpoints"/>
    <w:basedOn w:val="Odstavekseznama"/>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kseznama"/>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kseznamaZnak"/>
    <w:link w:val="bulletpoints"/>
    <w:rsid w:val="007B6341"/>
    <w:rPr>
      <w:rFonts w:ascii="Calibri" w:eastAsia="Calibri" w:hAnsi="Calibri"/>
      <w:noProof/>
      <w:sz w:val="22"/>
      <w:szCs w:val="22"/>
      <w:lang w:val="en-US" w:eastAsia="de-AT"/>
    </w:rPr>
  </w:style>
  <w:style w:type="table" w:styleId="Temenseznampoudarek1">
    <w:name w:val="Dark List Accent 1"/>
    <w:basedOn w:val="Navadnatabela"/>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OdstavekseznamaZnak"/>
    <w:link w:val="bulletpoints2"/>
    <w:rsid w:val="00925502"/>
    <w:rPr>
      <w:rFonts w:ascii="Calibri" w:eastAsia="Calibri" w:hAnsi="Calibri"/>
      <w:sz w:val="22"/>
      <w:szCs w:val="22"/>
      <w:lang w:val="de-AT"/>
    </w:rPr>
  </w:style>
  <w:style w:type="table" w:styleId="Srednjamrea3poudarek6">
    <w:name w:val="Medium Grid 3 Accent 6"/>
    <w:basedOn w:val="Navadnatabela"/>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avadnatabela"/>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Naslov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Naslov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slov2"/>
    <w:link w:val="Headline1partChar"/>
    <w:rsid w:val="000A739F"/>
    <w:pPr>
      <w:numPr>
        <w:numId w:val="14"/>
      </w:numPr>
      <w:ind w:left="1418" w:firstLine="0"/>
    </w:pPr>
    <w:rPr>
      <w:b w:val="0"/>
      <w:sz w:val="32"/>
      <w:szCs w:val="32"/>
    </w:rPr>
  </w:style>
  <w:style w:type="character" w:customStyle="1" w:styleId="Headline2Char">
    <w:name w:val="Headline 2 Char"/>
    <w:basedOn w:val="Naslov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slov2"/>
    <w:link w:val="HeadlineA1Char"/>
    <w:rsid w:val="000A739F"/>
    <w:rPr>
      <w:b w:val="0"/>
    </w:rPr>
  </w:style>
  <w:style w:type="character" w:customStyle="1" w:styleId="Headline1partChar">
    <w:name w:val="Headline 1 part Char"/>
    <w:basedOn w:val="Naslov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slov3"/>
    <w:rsid w:val="000A739F"/>
    <w:rPr>
      <w:b w:val="0"/>
    </w:rPr>
  </w:style>
  <w:style w:type="character" w:customStyle="1" w:styleId="HeadlineA1Char">
    <w:name w:val="Headline A1. Char"/>
    <w:basedOn w:val="Naslov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avadnatabela"/>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avadnatabela"/>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BrezrazmikovZnak">
    <w:name w:val="Brez razmikov Znak"/>
    <w:basedOn w:val="Privzetapisavaodstavka"/>
    <w:link w:val="Brezrazmikov"/>
    <w:uiPriority w:val="1"/>
    <w:rsid w:val="006D3BB8"/>
    <w:rPr>
      <w:rFonts w:ascii="Calibri" w:eastAsia="Calibri" w:hAnsi="Calibri"/>
      <w:sz w:val="22"/>
      <w:szCs w:val="22"/>
      <w:lang w:val="de-AT"/>
    </w:rPr>
  </w:style>
  <w:style w:type="paragraph" w:styleId="Telobesedila2">
    <w:name w:val="Body Text 2"/>
    <w:basedOn w:val="Navaden"/>
    <w:link w:val="Telobesedila2Znak"/>
    <w:uiPriority w:val="99"/>
    <w:unhideWhenUsed/>
    <w:rsid w:val="00995597"/>
    <w:pPr>
      <w:ind w:left="0" w:right="28"/>
      <w:jc w:val="left"/>
    </w:pPr>
    <w:rPr>
      <w:color w:val="FFFFFF" w:themeColor="background1"/>
    </w:rPr>
  </w:style>
  <w:style w:type="character" w:customStyle="1" w:styleId="Telobesedila2Znak">
    <w:name w:val="Telo besedila 2 Znak"/>
    <w:basedOn w:val="Privzetapisavaodstavka"/>
    <w:link w:val="Telobesedila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avaden"/>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Naslov2Znak"/>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avaden"/>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Privzetapisavaodstavka"/>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avaden"/>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Privzetapisavaodstavk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avaden"/>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Privzetapisavaodstavka"/>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Privzetapisavaodstavk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Besedilooznabemesta">
    <w:name w:val="Placeholder Text"/>
    <w:basedOn w:val="Privzetapisavaodstavk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2"/>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Citat">
    <w:name w:val="Quote"/>
    <w:aliases w:val="CE-Quotation"/>
    <w:basedOn w:val="Navaden"/>
    <w:next w:val="CE-StandardText"/>
    <w:link w:val="CitatZnak"/>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CitatZnak">
    <w:name w:val="Citat Znak"/>
    <w:aliases w:val="CE-Quotation Znak"/>
    <w:basedOn w:val="Privzetapisavaodstavka"/>
    <w:link w:val="Cita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3"/>
      </w:numPr>
    </w:pPr>
  </w:style>
  <w:style w:type="table" w:customStyle="1" w:styleId="CE-TableExample">
    <w:name w:val="CE-Table Example"/>
    <w:basedOn w:val="Navadnatabela"/>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Svetelseznam">
    <w:name w:val="Light List"/>
    <w:basedOn w:val="Navadnatabela"/>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avadnatabela"/>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47"/>
      </w:numPr>
    </w:pPr>
  </w:style>
  <w:style w:type="character" w:styleId="Nerazreenaomemba">
    <w:name w:val="Unresolved Mention"/>
    <w:basedOn w:val="Privzetapisavaodstavka"/>
    <w:uiPriority w:val="99"/>
    <w:semiHidden/>
    <w:unhideWhenUsed/>
    <w:rsid w:val="00253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Content.Node/Evaluation-and-follow-up-of-family-members.htm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F55F9-41D9-40A5-A2E8-B76F24D7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1085</Words>
  <Characters>6373</Characters>
  <Application>Microsoft Office Word</Application>
  <DocSecurity>0</DocSecurity>
  <Lines>53</Lines>
  <Paragraphs>14</Paragraphs>
  <ScaleCrop>false</ScaleCrop>
  <HeadingPairs>
    <vt:vector size="8" baseType="variant">
      <vt:variant>
        <vt:lpstr>Naslov</vt:lpstr>
      </vt:variant>
      <vt:variant>
        <vt:i4>1</vt:i4>
      </vt:variant>
      <vt:variant>
        <vt:lpstr>Cím</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Jasmina DOLINŠEK</cp:lastModifiedBy>
  <cp:revision>2</cp:revision>
  <cp:lastPrinted>2016-10-14T07:30:00Z</cp:lastPrinted>
  <dcterms:created xsi:type="dcterms:W3CDTF">2019-09-25T10:03:00Z</dcterms:created>
  <dcterms:modified xsi:type="dcterms:W3CDTF">2019-09-25T10:03:00Z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